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7B0C02" w14:textId="5C43A05E" w:rsidR="00232CB1" w:rsidRPr="00232CB1" w:rsidRDefault="00232CB1" w:rsidP="00583FF0"/>
    <w:p w14:paraId="28887DEC" w14:textId="77777777" w:rsidR="00232CB1" w:rsidRPr="00232CB1" w:rsidRDefault="00232CB1" w:rsidP="00583FF0"/>
    <w:p w14:paraId="17538E5E" w14:textId="77777777" w:rsidR="00232CB1" w:rsidRPr="00F41258" w:rsidRDefault="00232CB1" w:rsidP="00C112F2">
      <w:pPr>
        <w:jc w:val="center"/>
        <w:rPr>
          <w:b/>
        </w:rPr>
      </w:pPr>
      <w:r w:rsidRPr="00F41258">
        <w:rPr>
          <w:b/>
        </w:rPr>
        <w:t>Bundesministerium</w:t>
      </w:r>
    </w:p>
    <w:p w14:paraId="7B89787F" w14:textId="3A5564FB" w:rsidR="00232CB1" w:rsidRPr="00F41258" w:rsidRDefault="00232CB1" w:rsidP="00C112F2">
      <w:pPr>
        <w:jc w:val="center"/>
        <w:rPr>
          <w:b/>
        </w:rPr>
      </w:pPr>
      <w:r w:rsidRPr="00F41258">
        <w:rPr>
          <w:b/>
        </w:rPr>
        <w:t xml:space="preserve">für Wirtschaft und </w:t>
      </w:r>
      <w:r w:rsidR="00774C31" w:rsidRPr="00F41258">
        <w:rPr>
          <w:b/>
        </w:rPr>
        <w:t>Klimaschutz</w:t>
      </w:r>
    </w:p>
    <w:p w14:paraId="63E0A3DC" w14:textId="715C288C" w:rsidR="00232CB1" w:rsidRPr="00F41258" w:rsidRDefault="00165FB8" w:rsidP="00C112F2">
      <w:pPr>
        <w:jc w:val="center"/>
        <w:rPr>
          <w:b/>
        </w:rPr>
      </w:pPr>
      <w:r w:rsidRPr="00F41258">
        <w:rPr>
          <w:b/>
        </w:rPr>
        <w:t>Förderr</w:t>
      </w:r>
      <w:r w:rsidR="00232CB1" w:rsidRPr="00F41258">
        <w:rPr>
          <w:b/>
        </w:rPr>
        <w:t>ichtlinie</w:t>
      </w:r>
    </w:p>
    <w:p w14:paraId="3BFB1559" w14:textId="77777777" w:rsidR="00232CB1" w:rsidRPr="00F41258" w:rsidRDefault="00232CB1" w:rsidP="00C112F2">
      <w:pPr>
        <w:jc w:val="center"/>
        <w:rPr>
          <w:b/>
        </w:rPr>
      </w:pPr>
      <w:r w:rsidRPr="00F41258">
        <w:rPr>
          <w:b/>
        </w:rPr>
        <w:t>für die Bundesförderung für effiziente Gebäude</w:t>
      </w:r>
    </w:p>
    <w:p w14:paraId="2A6EDCC9" w14:textId="77777777" w:rsidR="00232CB1" w:rsidRPr="00F41258" w:rsidRDefault="00232CB1" w:rsidP="00C112F2">
      <w:pPr>
        <w:jc w:val="center"/>
        <w:rPr>
          <w:b/>
        </w:rPr>
      </w:pPr>
      <w:r w:rsidRPr="00F41258">
        <w:rPr>
          <w:b/>
        </w:rPr>
        <w:t>– Einzelmaßnahmen (BEG EM)</w:t>
      </w:r>
    </w:p>
    <w:p w14:paraId="7A18E29C" w14:textId="11B2E3EB" w:rsidR="00232CB1" w:rsidRPr="00F41258" w:rsidRDefault="00232CB1" w:rsidP="00C112F2">
      <w:pPr>
        <w:jc w:val="center"/>
        <w:rPr>
          <w:b/>
        </w:rPr>
      </w:pPr>
      <w:bookmarkStart w:id="0" w:name="_Hlk71715865"/>
      <w:r w:rsidRPr="00F41258">
        <w:rPr>
          <w:b/>
        </w:rPr>
        <w:t xml:space="preserve">Vom </w:t>
      </w:r>
      <w:r w:rsidR="00182282" w:rsidRPr="00F41258">
        <w:rPr>
          <w:b/>
        </w:rPr>
        <w:t>XX</w:t>
      </w:r>
      <w:r w:rsidRPr="00F41258">
        <w:rPr>
          <w:b/>
        </w:rPr>
        <w:t>.</w:t>
      </w:r>
      <w:r w:rsidR="00182282" w:rsidRPr="00F41258">
        <w:rPr>
          <w:b/>
        </w:rPr>
        <w:t xml:space="preserve"> </w:t>
      </w:r>
      <w:r w:rsidR="005769CE" w:rsidRPr="00F41258">
        <w:rPr>
          <w:b/>
        </w:rPr>
        <w:t>Oktober</w:t>
      </w:r>
      <w:r w:rsidRPr="00F41258">
        <w:rPr>
          <w:b/>
        </w:rPr>
        <w:t xml:space="preserve"> 202</w:t>
      </w:r>
      <w:r w:rsidR="002A4D72" w:rsidRPr="00F41258">
        <w:rPr>
          <w:b/>
        </w:rPr>
        <w:t>3</w:t>
      </w:r>
      <w:r w:rsidRPr="00F41258">
        <w:rPr>
          <w:b/>
        </w:rPr>
        <w:br/>
      </w:r>
    </w:p>
    <w:p w14:paraId="3033E3C8" w14:textId="656A203A" w:rsidR="00FC6358" w:rsidRPr="00F41258" w:rsidRDefault="00FC6358" w:rsidP="00FC6358">
      <w:pPr>
        <w:rPr>
          <w:b/>
        </w:rPr>
      </w:pPr>
    </w:p>
    <w:p w14:paraId="27BA617A" w14:textId="73BB7DD5" w:rsidR="00232CB1" w:rsidRPr="00F41258" w:rsidRDefault="00232CB1" w:rsidP="00583FF0">
      <w:pPr>
        <w:pStyle w:val="berschrift1"/>
      </w:pPr>
      <w:bookmarkStart w:id="1" w:name="_Toc112915677"/>
      <w:bookmarkStart w:id="2" w:name="_Toc144907992"/>
      <w:bookmarkEnd w:id="0"/>
      <w:r w:rsidRPr="00F41258">
        <w:t>Präambel</w:t>
      </w:r>
      <w:bookmarkEnd w:id="1"/>
      <w:bookmarkEnd w:id="2"/>
    </w:p>
    <w:p w14:paraId="21FC9F70" w14:textId="1C2DC763" w:rsidR="00E35D8B" w:rsidRPr="00F41258" w:rsidRDefault="00232CB1" w:rsidP="00B65B35">
      <w:pPr>
        <w:rPr>
          <w:spacing w:val="0"/>
        </w:rPr>
      </w:pPr>
      <w:r w:rsidRPr="00F41258">
        <w:t xml:space="preserve">Diese </w:t>
      </w:r>
      <w:r w:rsidR="0088634E" w:rsidRPr="00F41258">
        <w:t>Förderr</w:t>
      </w:r>
      <w:r w:rsidRPr="00F41258">
        <w:t xml:space="preserve">ichtlinie </w:t>
      </w:r>
      <w:r w:rsidRPr="00F41258">
        <w:t xml:space="preserve">ersetzt die Richtlinie für die Bundesförderung für effiziente Gebäude – Einzelmaßnahmen </w:t>
      </w:r>
      <w:r w:rsidR="00B65B35" w:rsidRPr="00F41258">
        <w:rPr>
          <w:rFonts w:eastAsia="Times New Roman"/>
          <w:color w:val="000000"/>
        </w:rPr>
        <w:t xml:space="preserve">in der Fassung </w:t>
      </w:r>
      <w:r w:rsidR="00B65B35" w:rsidRPr="00F41258">
        <w:t>vom</w:t>
      </w:r>
      <w:r w:rsidR="00B65B35" w:rsidRPr="00F41258" w:rsidDel="00B65B35">
        <w:t xml:space="preserve"> </w:t>
      </w:r>
      <w:r w:rsidR="002539ED" w:rsidRPr="00F41258">
        <w:t>09</w:t>
      </w:r>
      <w:r w:rsidRPr="00F41258">
        <w:t xml:space="preserve">. </w:t>
      </w:r>
      <w:r w:rsidR="002539ED" w:rsidRPr="00F41258">
        <w:t>Dezember</w:t>
      </w:r>
      <w:r w:rsidR="00E35D8B" w:rsidRPr="00F41258">
        <w:t xml:space="preserve"> 2022 (</w:t>
      </w:r>
      <w:r w:rsidR="007B2608" w:rsidRPr="00F41258">
        <w:t xml:space="preserve">BAnz </w:t>
      </w:r>
      <w:r w:rsidRPr="00F41258">
        <w:t>AT</w:t>
      </w:r>
      <w:r w:rsidR="002539ED" w:rsidRPr="00F41258">
        <w:t>30.12</w:t>
      </w:r>
      <w:r w:rsidR="007B2608" w:rsidRPr="00F41258">
        <w:t>.2022 B1</w:t>
      </w:r>
      <w:r w:rsidR="002539ED" w:rsidRPr="00F41258">
        <w:t>)</w:t>
      </w:r>
      <w:r w:rsidR="00E35D8B" w:rsidRPr="00F41258">
        <w:t>.</w:t>
      </w:r>
      <w:r w:rsidR="00E35D8B" w:rsidRPr="00F41258">
        <w:t xml:space="preserve"> </w:t>
      </w:r>
    </w:p>
    <w:p w14:paraId="678D2D6D" w14:textId="71AFB93D" w:rsidR="00E35D8B" w:rsidRPr="00F41258" w:rsidRDefault="00E35D8B" w:rsidP="00E35D8B">
      <w:pPr>
        <w:rPr>
          <w:spacing w:val="0"/>
        </w:rPr>
      </w:pPr>
      <w:bookmarkStart w:id="3" w:name="_Hlk119053184"/>
      <w:r w:rsidRPr="00F41258">
        <w:t>Die Bundesförderung für effiziente Gebäude (BEG) unterstützt die Erreichung der Klimaziele, den Klimaschutzplan 2050 sowie das Klimaschutzprogramm 2030</w:t>
      </w:r>
      <w:r w:rsidRPr="00F41258">
        <w:t>.</w:t>
      </w:r>
      <w:r w:rsidRPr="00F41258">
        <w:t xml:space="preserve"> Mit der BEG wurde die energetische Gebäudeförderung des Bundes daher in Umsetzung des Klimaschutzprogramms 2030 und der Förderstrategie „Energieeffizienz und Wärme aus Erneuerbaren Energien“ </w:t>
      </w:r>
      <w:r w:rsidR="001D30E6" w:rsidRPr="00F41258">
        <w:t xml:space="preserve">des Bundesministeriums für Wirtschaft und Klimaschutz </w:t>
      </w:r>
      <w:r w:rsidRPr="00F41258">
        <w:t>neu aufgesetzt und in 2021 eingeführt. Die BEG ersetzte damit das CO</w:t>
      </w:r>
      <w:r w:rsidRPr="00F41258">
        <w:rPr>
          <w:vertAlign w:val="subscript"/>
        </w:rPr>
        <w:t>2</w:t>
      </w:r>
      <w:r w:rsidRPr="00F41258">
        <w:t xml:space="preserve">-Gebäudesanierungsprogramm (EBS-Programme), das Marktanreizprogramm für erneuerbare Energien im Wärmemarkt (MAP), das Anreizprogramm Energieeffizienz (APEE) und das Heizungsoptimierungsprogramm (HZO). Bewährte Elemente aus diesen </w:t>
      </w:r>
      <w:r w:rsidR="0088634E" w:rsidRPr="00F41258">
        <w:t>Förderp</w:t>
      </w:r>
      <w:r w:rsidRPr="00F41258">
        <w:t>rogrammen</w:t>
      </w:r>
      <w:r w:rsidRPr="00F41258">
        <w:t xml:space="preserve"> wurden übernommen, weiterentwickelt und in den neuen </w:t>
      </w:r>
      <w:r w:rsidR="0088634E" w:rsidRPr="00F41258">
        <w:t>Förderr</w:t>
      </w:r>
      <w:r w:rsidRPr="00F41258">
        <w:t>ichtlinien</w:t>
      </w:r>
      <w:r w:rsidRPr="00F41258">
        <w:t xml:space="preserve"> der BEG gebündelt. Durch Integration der vier bisherigen Bundesförderprogramme wurde die Förderung von Effizienz und erneuerbaren Energien im Gebäudesektor erstmals zusammengeführt. Die BEG hat somit die inhaltliche Komplexität der bisherigen Förderprogramme reduziert und sie damit zugänglicher und verständlicher für die Bürger, Unternehmen und Kommunen gemacht. Die Anreizwirkung für Investitionen in Energieeffizienz und erneuerbare Energien konnte spürbar verstärkt werden. Die BEG entwickelt bzw. ergänzt die Förderung um Nachhaltigkeitsaspekte und Digitalisierungsmaßnahmen weiter und berücksichtigt damit neben der Betriebsphase von Gebäuden auch die </w:t>
      </w:r>
      <w:r w:rsidR="0095568A" w:rsidRPr="00F41258">
        <w:t>Emissionen von Treibhausgasen (THG)</w:t>
      </w:r>
      <w:r w:rsidRPr="00F41258">
        <w:t xml:space="preserve"> aus der Herstellungsphase einschl. vorgelagerter Lieferketten noch stärker. </w:t>
      </w:r>
    </w:p>
    <w:p w14:paraId="2E149613" w14:textId="4E68133D" w:rsidR="00E35D8B" w:rsidRPr="00F41258" w:rsidRDefault="00E35D8B" w:rsidP="00E35D8B">
      <w:r w:rsidRPr="00F41258">
        <w:t xml:space="preserve">Nach Auslaufen der Förderung des Neubaustandards Effizienzhaus 55 im Januar 2022 liegt der Fokus der Förderung auf den Sanierungstatbeständen mit hohem </w:t>
      </w:r>
      <w:r w:rsidR="0095568A" w:rsidRPr="00F41258">
        <w:t>THG</w:t>
      </w:r>
      <w:r w:rsidRPr="00F41258">
        <w:t xml:space="preserve">-Einsparpotenzial pro Fördereuro. </w:t>
      </w:r>
      <w:r w:rsidRPr="00F41258">
        <w:rPr>
          <w:rFonts w:eastAsia="Times New Roman" w:cs="Times New Roman"/>
          <w:szCs w:val="24"/>
        </w:rPr>
        <w:t xml:space="preserve">Die BEG </w:t>
      </w:r>
      <w:r w:rsidR="002539ED" w:rsidRPr="00F41258">
        <w:rPr>
          <w:rFonts w:eastAsia="Times New Roman" w:cs="Times New Roman"/>
          <w:szCs w:val="24"/>
        </w:rPr>
        <w:t>flankiert</w:t>
      </w:r>
      <w:r w:rsidRPr="00F41258">
        <w:rPr>
          <w:rFonts w:eastAsia="Times New Roman" w:cs="Times New Roman"/>
          <w:szCs w:val="24"/>
        </w:rPr>
        <w:t xml:space="preserve"> die Vorgaben des Gebäudeenergiegesetzes </w:t>
      </w:r>
      <w:r w:rsidR="0082128B" w:rsidRPr="00F41258">
        <w:rPr>
          <w:rFonts w:eastAsia="Times New Roman" w:cs="Times New Roman"/>
          <w:szCs w:val="24"/>
        </w:rPr>
        <w:t>(GEG)</w:t>
      </w:r>
      <w:r w:rsidRPr="00F41258">
        <w:rPr>
          <w:rFonts w:eastAsia="Times New Roman" w:cs="Times New Roman"/>
          <w:szCs w:val="24"/>
        </w:rPr>
        <w:t xml:space="preserve"> und </w:t>
      </w:r>
      <w:r w:rsidR="002539ED" w:rsidRPr="00F41258">
        <w:rPr>
          <w:rFonts w:eastAsia="Times New Roman" w:cs="Times New Roman"/>
          <w:szCs w:val="24"/>
        </w:rPr>
        <w:t>führt</w:t>
      </w:r>
      <w:r w:rsidRPr="00F41258">
        <w:rPr>
          <w:rFonts w:eastAsia="Times New Roman" w:cs="Times New Roman"/>
          <w:szCs w:val="24"/>
        </w:rPr>
        <w:t xml:space="preserve"> den Markt durch effiziente Anreize an </w:t>
      </w:r>
      <w:r w:rsidR="00C33DBB" w:rsidRPr="00F41258">
        <w:rPr>
          <w:rFonts w:eastAsia="Times New Roman" w:cs="Times New Roman"/>
          <w:szCs w:val="24"/>
        </w:rPr>
        <w:t>die darin festgelegten Anforderungen</w:t>
      </w:r>
      <w:r w:rsidRPr="00F41258">
        <w:rPr>
          <w:rFonts w:eastAsia="Times New Roman" w:cs="Times New Roman"/>
          <w:szCs w:val="24"/>
        </w:rPr>
        <w:t xml:space="preserve"> heran.</w:t>
      </w:r>
      <w:r w:rsidRPr="00F41258">
        <w:rPr>
          <w:rFonts w:eastAsia="Times New Roman" w:cs="Times New Roman"/>
          <w:szCs w:val="24"/>
        </w:rPr>
        <w:t xml:space="preserve"> Dies betrifft beispielsweise die Anforderungen von 65 % erneuerbare Energien bei neuen Heizungen</w:t>
      </w:r>
      <w:r w:rsidR="001D30E6" w:rsidRPr="00F41258">
        <w:rPr>
          <w:rFonts w:eastAsia="Times New Roman" w:cs="Times New Roman"/>
          <w:szCs w:val="24"/>
        </w:rPr>
        <w:t>.</w:t>
      </w:r>
      <w:r w:rsidRPr="00F41258">
        <w:rPr>
          <w:rFonts w:eastAsia="Times New Roman" w:cs="Times New Roman"/>
          <w:szCs w:val="24"/>
        </w:rPr>
        <w:t xml:space="preserve"> </w:t>
      </w:r>
      <w:r w:rsidR="00C33DBB" w:rsidRPr="00F41258">
        <w:t>Die BEG verfolgt bewusst einen technologieoffenen Ansatz</w:t>
      </w:r>
      <w:r w:rsidRPr="00F41258">
        <w:t xml:space="preserve"> </w:t>
      </w:r>
      <w:r w:rsidR="00C33DBB" w:rsidRPr="00F41258">
        <w:t xml:space="preserve">und </w:t>
      </w:r>
      <w:r w:rsidRPr="00F41258">
        <w:t xml:space="preserve">integriert </w:t>
      </w:r>
      <w:r w:rsidR="00C33DBB" w:rsidRPr="00F41258">
        <w:t>darüber hinaus bspw.</w:t>
      </w:r>
      <w:r w:rsidRPr="00F41258">
        <w:t xml:space="preserve"> Naturschutzbelange und trägt damit auch zur Umsetzung der nationalen Strategie zur Biologischen Vielfalt und des Masterplans „Stadtnatur“ bei.</w:t>
      </w:r>
    </w:p>
    <w:p w14:paraId="3B6538CB" w14:textId="34D11C9E" w:rsidR="00536B9B" w:rsidRPr="00F41258" w:rsidRDefault="00E35D8B" w:rsidP="00E35D8B">
      <w:r w:rsidRPr="00F41258">
        <w:lastRenderedPageBreak/>
        <w:t xml:space="preserve">Für die BEG wird eine jährliche Programmevaluation durchgeführt, die die Effizienz des Mitteleinsatzes im Hinblick auf die erzielten </w:t>
      </w:r>
      <w:r w:rsidR="0095568A" w:rsidRPr="00F41258">
        <w:t>THG</w:t>
      </w:r>
      <w:r w:rsidRPr="00F41258">
        <w:t>-Einsparungen und die Kohärenz zur CO</w:t>
      </w:r>
      <w:r w:rsidRPr="00F41258">
        <w:rPr>
          <w:vertAlign w:val="subscript"/>
        </w:rPr>
        <w:t>2</w:t>
      </w:r>
      <w:r w:rsidRPr="00F41258">
        <w:t xml:space="preserve">-Bepreisung untersucht und in deren Rahmen auch die Menge der energetischen Biomassenutzung durch die geförderten Maßnahmen, die Auswirkungen auf die Luftqualität sowie perspektivisch auch Angaben zum Energieverbrauch berücksichtigt werden. Parallel zur jährlichen Programmevaluation erfolgt im Hinblick auf die Einhaltung der EU-rechtlichen Vorgaben der National Emission </w:t>
      </w:r>
      <w:proofErr w:type="spellStart"/>
      <w:r w:rsidRPr="00F41258">
        <w:t>Ceilings</w:t>
      </w:r>
      <w:proofErr w:type="spellEnd"/>
      <w:r w:rsidRPr="00F41258">
        <w:t xml:space="preserve"> (NEC)-Richtlinie ein engmaschiges vierteljährliches Monitoring der Förderung im Bereich der Biomasseheizungen mit Datenaustausch </w:t>
      </w:r>
      <w:bookmarkStart w:id="4" w:name="_Hlk144454860"/>
      <w:r w:rsidRPr="00F41258">
        <w:t xml:space="preserve">zwischen </w:t>
      </w:r>
      <w:r w:rsidR="0088634E" w:rsidRPr="00F41258">
        <w:t>dem Bundesamt für</w:t>
      </w:r>
      <w:r w:rsidR="00181FB9" w:rsidRPr="00F41258">
        <w:t xml:space="preserve"> Wirtschaft und</w:t>
      </w:r>
      <w:r w:rsidR="0088634E" w:rsidRPr="00F41258">
        <w:t xml:space="preserve"> Ausfuhrkontrolle (</w:t>
      </w:r>
      <w:r w:rsidRPr="00F41258">
        <w:t>BAFA</w:t>
      </w:r>
      <w:r w:rsidR="0088634E" w:rsidRPr="00F41258">
        <w:t>)</w:t>
      </w:r>
      <w:r w:rsidRPr="00F41258">
        <w:t xml:space="preserve">, </w:t>
      </w:r>
      <w:r w:rsidR="0088634E" w:rsidRPr="00F41258">
        <w:t>der</w:t>
      </w:r>
      <w:r w:rsidRPr="00F41258">
        <w:t xml:space="preserve"> KfW</w:t>
      </w:r>
      <w:r w:rsidR="00FF3150" w:rsidRPr="00F41258">
        <w:t xml:space="preserve"> Bankengruppe (KfW)</w:t>
      </w:r>
      <w:r w:rsidRPr="00F41258">
        <w:t xml:space="preserve">, </w:t>
      </w:r>
      <w:r w:rsidR="0088634E" w:rsidRPr="00F41258">
        <w:t>dem Umweltbundesamt (</w:t>
      </w:r>
      <w:r w:rsidRPr="00F41258">
        <w:t>UBA</w:t>
      </w:r>
      <w:r w:rsidR="0088634E" w:rsidRPr="00F41258">
        <w:t>)</w:t>
      </w:r>
      <w:r w:rsidRPr="00F41258">
        <w:t xml:space="preserve"> und </w:t>
      </w:r>
      <w:r w:rsidR="0088634E" w:rsidRPr="00F41258">
        <w:t>dem Deutsches Biomasseforschungszentrum (</w:t>
      </w:r>
      <w:r w:rsidRPr="00F41258">
        <w:t>DBFZ</w:t>
      </w:r>
      <w:r w:rsidR="0088634E" w:rsidRPr="00F41258">
        <w:t>)</w:t>
      </w:r>
      <w:bookmarkEnd w:id="4"/>
      <w:r w:rsidRPr="00F41258">
        <w:t>,</w:t>
      </w:r>
      <w:r w:rsidRPr="00F41258">
        <w:t xml:space="preserve"> um kurzfristig auf Fehlentwicklungen reagieren zu können. </w:t>
      </w:r>
    </w:p>
    <w:p w14:paraId="7ED2C322" w14:textId="6EB06A7D" w:rsidR="008157F3" w:rsidRPr="00F41258" w:rsidRDefault="003070C2" w:rsidP="008157F3">
      <w:bookmarkStart w:id="5" w:name="_Hlk120091741"/>
      <w:bookmarkStart w:id="6" w:name="_Hlk120269478"/>
      <w:r w:rsidRPr="00F41258">
        <w:t>Mit</w:t>
      </w:r>
      <w:r w:rsidR="001869CC" w:rsidRPr="00F41258">
        <w:t xml:space="preserve"> der </w:t>
      </w:r>
      <w:r w:rsidRPr="00F41258">
        <w:t>Novelle</w:t>
      </w:r>
      <w:r w:rsidR="001869CC" w:rsidRPr="00F41258">
        <w:t xml:space="preserve"> des </w:t>
      </w:r>
      <w:r w:rsidR="0082128B" w:rsidRPr="00F41258">
        <w:t>GEG</w:t>
      </w:r>
      <w:r w:rsidRPr="00F41258">
        <w:t xml:space="preserve"> wird die Nutzung von mindestens 65% erneuerbarer Energie spätestens ab 2028</w:t>
      </w:r>
      <w:r w:rsidR="001869CC" w:rsidRPr="00F41258">
        <w:t xml:space="preserve"> für </w:t>
      </w:r>
      <w:r w:rsidRPr="00F41258">
        <w:t>alle neuen Heizungen verbindlich. Gemeinsam mit</w:t>
      </w:r>
      <w:r w:rsidR="001869CC" w:rsidRPr="00F41258">
        <w:t xml:space="preserve"> der </w:t>
      </w:r>
      <w:r w:rsidRPr="00F41258">
        <w:t xml:space="preserve">Novelle des </w:t>
      </w:r>
      <w:r w:rsidR="0072088B" w:rsidRPr="00F41258">
        <w:t xml:space="preserve">GEG </w:t>
      </w:r>
      <w:r w:rsidRPr="00F41258">
        <w:t xml:space="preserve">hat das Parlament am </w:t>
      </w:r>
      <w:r w:rsidR="001D30E6" w:rsidRPr="00F41258">
        <w:t>[xx].</w:t>
      </w:r>
      <w:r w:rsidR="009E2778" w:rsidRPr="00F41258">
        <w:t xml:space="preserve"> September </w:t>
      </w:r>
      <w:r w:rsidR="001D30E6" w:rsidRPr="00F41258">
        <w:t>2023</w:t>
      </w:r>
      <w:r w:rsidRPr="00F41258">
        <w:t xml:space="preserve"> auch Eckpunkte der Förderung </w:t>
      </w:r>
      <w:r w:rsidR="001869CC" w:rsidRPr="00F41258">
        <w:t xml:space="preserve">für </w:t>
      </w:r>
      <w:r w:rsidRPr="00F41258">
        <w:t xml:space="preserve">den Heizungstausch beschlossen. Die vorliegende Förderrichtlinie wurden auf dieser Grundlage überarbeitet. </w:t>
      </w:r>
    </w:p>
    <w:p w14:paraId="7694F266" w14:textId="6438EF90" w:rsidR="008157F3" w:rsidRPr="00F41258" w:rsidRDefault="008157F3" w:rsidP="008157F3">
      <w:r w:rsidRPr="00F41258">
        <w:t xml:space="preserve">Im Kontext der Förderung soll auf Ebene des Gebäudebestandes auch die gesetzliche Pflicht zu kommunalen </w:t>
      </w:r>
      <w:r w:rsidR="001869CC" w:rsidRPr="00F41258">
        <w:t xml:space="preserve">Wärmeplanung </w:t>
      </w:r>
      <w:r w:rsidRPr="00F41258">
        <w:t xml:space="preserve">ab 2026 für alle Gemeinden über 100.000 Einwohnern und ab 2028 für solche mit weniger als 100.000 Einwohnern flankiert werden. </w:t>
      </w:r>
    </w:p>
    <w:p w14:paraId="22474369" w14:textId="719D12AA" w:rsidR="00590D5A" w:rsidRPr="00F41258" w:rsidRDefault="005C5D12" w:rsidP="00F97655">
      <w:r w:rsidRPr="00F41258">
        <w:t>Auch</w:t>
      </w:r>
      <w:r w:rsidR="001869CC" w:rsidRPr="00F41258">
        <w:t xml:space="preserve"> müssen die begrenzt nachhaltig zur Verfügung stehenden Biomassepotenziale und die Verpflichtung zur Stärkung des </w:t>
      </w:r>
      <w:proofErr w:type="spellStart"/>
      <w:r w:rsidR="001869CC" w:rsidRPr="00F41258">
        <w:t>land</w:t>
      </w:r>
      <w:proofErr w:type="spellEnd"/>
      <w:r w:rsidR="001869CC" w:rsidRPr="00F41258">
        <w:t xml:space="preserve"> </w:t>
      </w:r>
      <w:proofErr w:type="spellStart"/>
      <w:r w:rsidR="001869CC" w:rsidRPr="00F41258">
        <w:t>use</w:t>
      </w:r>
      <w:proofErr w:type="spellEnd"/>
      <w:r w:rsidR="001869CC" w:rsidRPr="00F41258">
        <w:t>, land-</w:t>
      </w:r>
      <w:proofErr w:type="spellStart"/>
      <w:r w:rsidR="001869CC" w:rsidRPr="00F41258">
        <w:t>use</w:t>
      </w:r>
      <w:proofErr w:type="spellEnd"/>
      <w:r w:rsidR="001869CC" w:rsidRPr="00F41258">
        <w:t xml:space="preserve"> </w:t>
      </w:r>
      <w:proofErr w:type="spellStart"/>
      <w:r w:rsidR="001869CC" w:rsidRPr="00F41258">
        <w:t>change</w:t>
      </w:r>
      <w:proofErr w:type="spellEnd"/>
      <w:r w:rsidR="001869CC" w:rsidRPr="00F41258">
        <w:t xml:space="preserve"> and </w:t>
      </w:r>
      <w:proofErr w:type="spellStart"/>
      <w:r w:rsidR="001869CC" w:rsidRPr="00F41258">
        <w:t>forestry</w:t>
      </w:r>
      <w:proofErr w:type="spellEnd"/>
      <w:r w:rsidR="001869CC" w:rsidRPr="00F41258">
        <w:t xml:space="preserve"> (LULUCF)-Sektors aus dem Bundes-Klimaschutzgesetz (KSG) berücksichtigt werden.</w:t>
      </w:r>
    </w:p>
    <w:bookmarkEnd w:id="5"/>
    <w:bookmarkEnd w:id="6"/>
    <w:p w14:paraId="0E4DA4EA" w14:textId="426C17FB" w:rsidR="00E35D8B" w:rsidRPr="00F41258" w:rsidRDefault="00E35D8B" w:rsidP="00E35D8B">
      <w:r w:rsidRPr="00F41258">
        <w:t xml:space="preserve">Die BEG ist für eine leichtere Zugänglichkeit der einzelnen Zielgruppen in eine Grundstruktur mit vier </w:t>
      </w:r>
      <w:r w:rsidR="00103EB3" w:rsidRPr="00F41258">
        <w:t>Förderr</w:t>
      </w:r>
      <w:r w:rsidRPr="00F41258">
        <w:t>ichtlinien</w:t>
      </w:r>
      <w:r w:rsidRPr="00F41258">
        <w:t xml:space="preserve"> aufgeteilt: In die „Bundesförderung für effiziente Gebäude – Wohngebäude“ (BEG WG), die „Bundesförderung für effiziente Gebäude − Nichtwohngebäude“ (BEG NWG), die „Bundesförderung für effiziente Gebäude − Einzelmaßnahmen“ (BEG EM) </w:t>
      </w:r>
      <w:bookmarkStart w:id="7" w:name="_Hlk115069755"/>
      <w:r w:rsidRPr="00F41258">
        <w:t xml:space="preserve">und die </w:t>
      </w:r>
      <w:r w:rsidR="00450BA4" w:rsidRPr="00F41258">
        <w:t>durch das</w:t>
      </w:r>
      <w:r w:rsidR="005222B9" w:rsidRPr="00F41258">
        <w:t xml:space="preserve"> Bundesministerium für Wohnen, Stadtentwicklung und Bauwesen</w:t>
      </w:r>
      <w:r w:rsidR="00450BA4" w:rsidRPr="00F41258">
        <w:t xml:space="preserve"> </w:t>
      </w:r>
      <w:r w:rsidR="005222B9" w:rsidRPr="00F41258">
        <w:t>(</w:t>
      </w:r>
      <w:r w:rsidR="00450BA4" w:rsidRPr="00F41258">
        <w:t>BMWSB</w:t>
      </w:r>
      <w:r w:rsidR="005222B9" w:rsidRPr="00F41258">
        <w:t>)</w:t>
      </w:r>
      <w:r w:rsidR="00450BA4" w:rsidRPr="00F41258">
        <w:t xml:space="preserve"> administrierte</w:t>
      </w:r>
      <w:r w:rsidRPr="00F41258">
        <w:t xml:space="preserve"> </w:t>
      </w:r>
      <w:r w:rsidRPr="00F41258">
        <w:t xml:space="preserve">„Bundesförderung für effiziente Gebäude – Klimafreundlicher Neubau“ (BEG </w:t>
      </w:r>
      <w:r w:rsidR="000B0E2D" w:rsidRPr="00F41258">
        <w:t>K</w:t>
      </w:r>
      <w:r w:rsidR="000D48AE" w:rsidRPr="00F41258">
        <w:t>F</w:t>
      </w:r>
      <w:r w:rsidR="000B0E2D" w:rsidRPr="00F41258">
        <w:t>N</w:t>
      </w:r>
      <w:r w:rsidRPr="00F41258">
        <w:t>).</w:t>
      </w:r>
    </w:p>
    <w:bookmarkEnd w:id="7"/>
    <w:p w14:paraId="59D2B818" w14:textId="08BD3334" w:rsidR="00B65B35" w:rsidRPr="00F41258" w:rsidRDefault="00E35D8B">
      <w:r w:rsidRPr="00F41258">
        <w:t xml:space="preserve">Die BEG </w:t>
      </w:r>
      <w:r w:rsidR="00B65B35" w:rsidRPr="00F41258">
        <w:t>EM betrifft die Förderung von Einzelmaßnahmen zur energetischen Sanierung von Wohngebäuden und Nichtwohngebäuden.</w:t>
      </w:r>
      <w:bookmarkEnd w:id="3"/>
    </w:p>
    <w:p w14:paraId="26841760" w14:textId="7AD74D9C" w:rsidR="00232CB1" w:rsidRPr="00F41258" w:rsidRDefault="00232CB1" w:rsidP="00583FF0">
      <w:pPr>
        <w:pStyle w:val="berschrift1"/>
      </w:pPr>
      <w:bookmarkStart w:id="8" w:name="_Toc112915678"/>
      <w:bookmarkStart w:id="9" w:name="_Toc144907993"/>
      <w:r w:rsidRPr="00F41258">
        <w:t>Rechtsgrundlagen</w:t>
      </w:r>
      <w:bookmarkEnd w:id="8"/>
      <w:bookmarkEnd w:id="9"/>
    </w:p>
    <w:p w14:paraId="34819278" w14:textId="524A5AE0" w:rsidR="00232CB1" w:rsidRPr="00F41258" w:rsidRDefault="00232CB1" w:rsidP="00583FF0">
      <w:r w:rsidRPr="00F41258">
        <w:t xml:space="preserve">Der Bund gewährt, über </w:t>
      </w:r>
      <w:r w:rsidR="008157F3" w:rsidRPr="00F41258">
        <w:t>die</w:t>
      </w:r>
      <w:r w:rsidR="005323C1" w:rsidRPr="00F41258">
        <w:t xml:space="preserve"> </w:t>
      </w:r>
      <w:r w:rsidRPr="00F41258">
        <w:t xml:space="preserve">mit der Umsetzung dieser </w:t>
      </w:r>
      <w:r w:rsidR="0088634E" w:rsidRPr="00F41258">
        <w:t>Förderr</w:t>
      </w:r>
      <w:r w:rsidR="008157F3" w:rsidRPr="00F41258">
        <w:t>ichtlinie beauftragte</w:t>
      </w:r>
      <w:r w:rsidR="00E2037A" w:rsidRPr="00F41258">
        <w:t xml:space="preserve">n </w:t>
      </w:r>
      <w:r w:rsidR="00181FB9" w:rsidRPr="00F41258">
        <w:t xml:space="preserve">Durchführern </w:t>
      </w:r>
      <w:r w:rsidR="00E2037A" w:rsidRPr="00F41258">
        <w:t>KfW und</w:t>
      </w:r>
      <w:r w:rsidRPr="00F41258">
        <w:t xml:space="preserve"> BAFA, Förderungen auf Grundlage dieser </w:t>
      </w:r>
      <w:r w:rsidR="0088634E" w:rsidRPr="00F41258">
        <w:t>Förderr</w:t>
      </w:r>
      <w:r w:rsidRPr="00F41258">
        <w:t>ichtlinie</w:t>
      </w:r>
      <w:r w:rsidRPr="00F41258">
        <w:t>, die nach Maßgabe insbesondere folgender Regelungen in der jeweils gültigen Fassung erlassen worden ist:</w:t>
      </w:r>
    </w:p>
    <w:p w14:paraId="69DCE234" w14:textId="77777777" w:rsidR="00232CB1" w:rsidRPr="00F41258" w:rsidRDefault="00232CB1" w:rsidP="009B6F99">
      <w:pPr>
        <w:pStyle w:val="Listenabsatz"/>
        <w:numPr>
          <w:ilvl w:val="0"/>
          <w:numId w:val="11"/>
        </w:numPr>
      </w:pPr>
      <w:r w:rsidRPr="00F41258">
        <w:t>§§ 23 und 44 der Bundeshaushaltsordnung (BHO) sowie den zu diesen Regelungen erlassenen Allgemeinen Verwaltungsvorschriften zur Bundeshaushaltsordnung;</w:t>
      </w:r>
    </w:p>
    <w:p w14:paraId="59DED236" w14:textId="6F0808D9" w:rsidR="00232CB1" w:rsidRPr="00F41258" w:rsidRDefault="00232CB1" w:rsidP="009B6F99">
      <w:pPr>
        <w:pStyle w:val="Listenabsatz"/>
        <w:numPr>
          <w:ilvl w:val="0"/>
          <w:numId w:val="11"/>
        </w:numPr>
      </w:pPr>
      <w:bookmarkStart w:id="10" w:name="_Hlk121406719"/>
      <w:bookmarkStart w:id="11" w:name="_Hlk124955507"/>
      <w:r w:rsidRPr="00F41258">
        <w:t xml:space="preserve">Allgemeine Nebenbestimmungen für Zuwendungen zur Projektförderung </w:t>
      </w:r>
      <w:bookmarkEnd w:id="10"/>
      <w:r w:rsidRPr="00F41258">
        <w:t xml:space="preserve">(ANBest-P); wobei hinsichtlich der ANBest-P anstelle von Nummer 3.1 ab dem dort genannten Schwellenwert </w:t>
      </w:r>
      <w:r w:rsidR="001451CF" w:rsidRPr="00F41258">
        <w:t>bis zu einer Wertgrenze (Zuwendungsbetrag) in Höhe von 3 Mi</w:t>
      </w:r>
      <w:r w:rsidR="009B78BC" w:rsidRPr="00F41258">
        <w:t>llionen</w:t>
      </w:r>
      <w:r w:rsidR="001451CF" w:rsidRPr="00F41258">
        <w:t xml:space="preserve"> Euro </w:t>
      </w:r>
      <w:r w:rsidRPr="00F41258">
        <w:t xml:space="preserve">folgende Regelung </w:t>
      </w:r>
      <w:bookmarkStart w:id="12" w:name="_Hlk121406954"/>
      <w:r w:rsidRPr="00F41258">
        <w:t xml:space="preserve">gilt: Der Zuwendungsempfänger hat Aufträge nur an fachkundige und leistungsfähige Anbieter nach wettbewerblichen </w:t>
      </w:r>
      <w:r w:rsidRPr="00F41258">
        <w:lastRenderedPageBreak/>
        <w:t xml:space="preserve">Gesichtspunkten zu wirtschaftlichen Bedingungen zu vergeben. Soweit möglich, sind dazu mindestens drei Angebote einzuholen. </w:t>
      </w:r>
      <w:bookmarkEnd w:id="12"/>
      <w:r w:rsidRPr="00F41258">
        <w:t>Verfahren und Ergebnisse sind zu dokumentieren;</w:t>
      </w:r>
    </w:p>
    <w:bookmarkEnd w:id="11"/>
    <w:p w14:paraId="54333BFB" w14:textId="098D1DAB" w:rsidR="00232CB1" w:rsidRPr="00F41258" w:rsidRDefault="00232CB1" w:rsidP="009B6F99">
      <w:pPr>
        <w:pStyle w:val="Listenabsatz"/>
        <w:numPr>
          <w:ilvl w:val="0"/>
          <w:numId w:val="11"/>
        </w:numPr>
      </w:pPr>
      <w:r w:rsidRPr="00F41258">
        <w:t>Allgemeine Nebenbestimmungen für Zuwendungen zur Projektförderung an Gebietskörperschaften und Zusammenschlüsse von Gebietskörperschaften (ANBest-</w:t>
      </w:r>
      <w:proofErr w:type="spellStart"/>
      <w:r w:rsidRPr="00F41258">
        <w:t>Gk</w:t>
      </w:r>
      <w:proofErr w:type="spellEnd"/>
      <w:r w:rsidRPr="00F41258">
        <w:t>);</w:t>
      </w:r>
    </w:p>
    <w:p w14:paraId="4C90E845" w14:textId="00E0A6E5" w:rsidR="00232CB1" w:rsidRPr="00F41258" w:rsidRDefault="00232CB1" w:rsidP="009B6F99">
      <w:pPr>
        <w:pStyle w:val="Listenabsatz"/>
        <w:numPr>
          <w:ilvl w:val="0"/>
          <w:numId w:val="11"/>
        </w:numPr>
      </w:pPr>
      <w:r w:rsidRPr="00F41258">
        <w:t>Gebäudeenergiegesetz (GEG) vom 8. August 2020 (BGBl. I S. 1728)</w:t>
      </w:r>
      <w:bookmarkStart w:id="13" w:name="_Hlk112407057"/>
      <w:r w:rsidR="00372327" w:rsidRPr="00F41258">
        <w:t>,</w:t>
      </w:r>
      <w:r w:rsidR="00067F7A" w:rsidRPr="00F41258">
        <w:t xml:space="preserve"> das </w:t>
      </w:r>
      <w:r w:rsidR="009378FB" w:rsidRPr="00F41258">
        <w:t xml:space="preserve">zuletzt </w:t>
      </w:r>
      <w:r w:rsidR="00067F7A" w:rsidRPr="00F41258">
        <w:t xml:space="preserve">durch Artikel </w:t>
      </w:r>
      <w:r w:rsidR="001E7D67" w:rsidRPr="00F41258">
        <w:t>1</w:t>
      </w:r>
      <w:r w:rsidR="00067F7A" w:rsidRPr="00F41258">
        <w:t xml:space="preserve"> des Gesetzes vom </w:t>
      </w:r>
      <w:r w:rsidR="009378FB" w:rsidRPr="00F41258">
        <w:t>[…]</w:t>
      </w:r>
      <w:r w:rsidR="00067F7A" w:rsidRPr="00F41258">
        <w:t xml:space="preserve"> (BGBl. </w:t>
      </w:r>
      <w:r w:rsidR="009378FB" w:rsidRPr="00F41258">
        <w:t>[…])</w:t>
      </w:r>
      <w:r w:rsidR="00067F7A" w:rsidRPr="00F41258">
        <w:t xml:space="preserve"> geändert worden ist</w:t>
      </w:r>
      <w:bookmarkEnd w:id="13"/>
      <w:r w:rsidRPr="00F41258">
        <w:t>;</w:t>
      </w:r>
    </w:p>
    <w:p w14:paraId="6E2B81F8" w14:textId="6261E24C" w:rsidR="00232CB1" w:rsidRPr="00F41258" w:rsidRDefault="00232CB1" w:rsidP="009B6F99">
      <w:pPr>
        <w:pStyle w:val="Listenabsatz"/>
        <w:numPr>
          <w:ilvl w:val="0"/>
          <w:numId w:val="11"/>
        </w:numPr>
      </w:pPr>
      <w:r w:rsidRPr="00F41258">
        <w:t xml:space="preserve">Bundes-Immissionsschutzgesetz (BImSchG) </w:t>
      </w:r>
      <w:r w:rsidR="00E66737" w:rsidRPr="00F41258">
        <w:t xml:space="preserve">in der Fassung der Bekanntmachung vom 17. Mai 2013 (BGBl. I S. 1274; 2021 I S. 123), das zuletzt durch Artikel </w:t>
      </w:r>
      <w:r w:rsidR="009378FB" w:rsidRPr="00F41258">
        <w:t>11 Absatz 3</w:t>
      </w:r>
      <w:r w:rsidR="00E66737" w:rsidRPr="00F41258">
        <w:t xml:space="preserve"> des Gesetzes vom </w:t>
      </w:r>
      <w:r w:rsidR="009378FB" w:rsidRPr="00F41258">
        <w:t>26</w:t>
      </w:r>
      <w:r w:rsidR="00E66737" w:rsidRPr="00F41258">
        <w:t xml:space="preserve">. Juli </w:t>
      </w:r>
      <w:r w:rsidR="009378FB" w:rsidRPr="00F41258">
        <w:t>2023</w:t>
      </w:r>
      <w:r w:rsidR="00E66737" w:rsidRPr="00F41258">
        <w:t xml:space="preserve"> (BGBl. </w:t>
      </w:r>
      <w:r w:rsidR="009378FB" w:rsidRPr="00F41258">
        <w:t xml:space="preserve">2023 </w:t>
      </w:r>
      <w:r w:rsidR="00E66737" w:rsidRPr="00F41258">
        <w:t xml:space="preserve">I </w:t>
      </w:r>
      <w:r w:rsidR="009378FB" w:rsidRPr="00F41258">
        <w:t>Nr. 202</w:t>
      </w:r>
      <w:r w:rsidR="00E66737" w:rsidRPr="00F41258">
        <w:t>) geändert worden ist</w:t>
      </w:r>
      <w:r w:rsidRPr="00F41258">
        <w:t>, und Sechste Allgemeine Verwaltungsvorschrift zum Bundes-Immissionsschutzgesetz (TA Lärm);</w:t>
      </w:r>
    </w:p>
    <w:p w14:paraId="73753BFC" w14:textId="2DA98470" w:rsidR="00523845" w:rsidRPr="00F41258" w:rsidRDefault="00232CB1" w:rsidP="00523845">
      <w:pPr>
        <w:pStyle w:val="Listenabsatz"/>
        <w:numPr>
          <w:ilvl w:val="0"/>
          <w:numId w:val="11"/>
        </w:numPr>
      </w:pPr>
      <w:r w:rsidRPr="00F41258">
        <w:t>Verordnung (EU) Nr. 1369/2017 des Europäischen Parlaments und des Rates vom 4. Juli 2017 zur Festlegung eines Rahmens für die Energieverbrauchskennzeichnung und zur Aufhebung der Richtlinie 2010/30/EU (</w:t>
      </w:r>
      <w:proofErr w:type="spellStart"/>
      <w:r w:rsidRPr="00F41258">
        <w:t>ABl.</w:t>
      </w:r>
      <w:proofErr w:type="spellEnd"/>
      <w:r w:rsidRPr="00F41258">
        <w:t xml:space="preserve"> L 198 vom 28.</w:t>
      </w:r>
      <w:r w:rsidR="00B65B35" w:rsidRPr="00F41258">
        <w:t xml:space="preserve"> Juli </w:t>
      </w:r>
      <w:r w:rsidRPr="00F41258">
        <w:t>2017, S. 1) (Energieverbrauchskennzeichnungs-VO).</w:t>
      </w:r>
    </w:p>
    <w:p w14:paraId="0DE35558" w14:textId="77777777" w:rsidR="00523845" w:rsidRPr="00F41258" w:rsidRDefault="00523845" w:rsidP="00523845"/>
    <w:p w14:paraId="3BCD2D2E" w14:textId="19EF56D8" w:rsidR="00523845" w:rsidRPr="00F41258" w:rsidRDefault="00523845" w:rsidP="00523845">
      <w:r w:rsidRPr="00F41258">
        <w:t>Die in diesem Abschnitt genannten Vorschriften der BHO, die zu diesen Regelungen erlassenen Allgemeinen Verwaltungsvorschriften sowie die Vorschriften der ANBest-P und der ANBest-</w:t>
      </w:r>
      <w:proofErr w:type="spellStart"/>
      <w:r w:rsidRPr="00F41258">
        <w:t>Gk</w:t>
      </w:r>
      <w:proofErr w:type="spellEnd"/>
      <w:r w:rsidRPr="00F41258">
        <w:t xml:space="preserve"> sind in den auf den Durchführer KfW entfallenen Bestandteilen durch die KfW anzuwenden und sinngemäß vertragsrechtlich umzusetzen. Das Nähere regelt der zwischen Bund und KfW abzuschließende Mandatarvertrag.</w:t>
      </w:r>
    </w:p>
    <w:p w14:paraId="5B4A7841" w14:textId="77777777" w:rsidR="00523845" w:rsidRPr="00F41258" w:rsidRDefault="00523845" w:rsidP="00523845"/>
    <w:p w14:paraId="09C8A08A" w14:textId="30C955FB" w:rsidR="00232CB1" w:rsidRPr="00F41258" w:rsidRDefault="00232CB1" w:rsidP="00583FF0">
      <w:pPr>
        <w:pStyle w:val="berschrift1"/>
      </w:pPr>
      <w:bookmarkStart w:id="14" w:name="_Begriffsbestimmungen"/>
      <w:bookmarkStart w:id="15" w:name="_Toc112915679"/>
      <w:bookmarkStart w:id="16" w:name="_Toc144907994"/>
      <w:bookmarkEnd w:id="14"/>
      <w:r w:rsidRPr="00F41258">
        <w:t>Begriffsbestimmungen</w:t>
      </w:r>
      <w:bookmarkEnd w:id="15"/>
      <w:bookmarkEnd w:id="16"/>
    </w:p>
    <w:p w14:paraId="70C391A4" w14:textId="60337472" w:rsidR="00232CB1" w:rsidRPr="00F41258" w:rsidRDefault="00232CB1" w:rsidP="00583FF0">
      <w:pPr>
        <w:rPr>
          <w:b/>
        </w:rPr>
      </w:pPr>
      <w:r w:rsidRPr="00F41258">
        <w:t xml:space="preserve">Im Sinne dieser </w:t>
      </w:r>
      <w:r w:rsidR="00103EB3" w:rsidRPr="00F41258">
        <w:t>Förderr</w:t>
      </w:r>
      <w:r w:rsidRPr="00F41258">
        <w:t>ichtlinie</w:t>
      </w:r>
      <w:r w:rsidRPr="00F41258">
        <w:t xml:space="preserve"> sind</w:t>
      </w:r>
    </w:p>
    <w:p w14:paraId="19B733AC" w14:textId="7769BAAD" w:rsidR="00232CB1" w:rsidRPr="00F41258" w:rsidRDefault="00F33971" w:rsidP="00D3289E">
      <w:pPr>
        <w:pStyle w:val="Listenabsatz"/>
        <w:numPr>
          <w:ilvl w:val="0"/>
          <w:numId w:val="1"/>
        </w:numPr>
        <w:ind w:left="0"/>
      </w:pPr>
      <w:r w:rsidRPr="00F41258">
        <w:t xml:space="preserve"> </w:t>
      </w:r>
      <w:r w:rsidR="00232CB1" w:rsidRPr="00F41258">
        <w:t>„</w:t>
      </w:r>
      <w:r w:rsidR="00232CB1" w:rsidRPr="00F41258">
        <w:rPr>
          <w:b/>
        </w:rPr>
        <w:t>Bestandsgebäude</w:t>
      </w:r>
      <w:r w:rsidR="00232CB1" w:rsidRPr="00F41258">
        <w:t>“: fertiggestellte Gebäude, deren Bauantrag bzw. Bauanzeige zum Zeitpunkt der Antragstellung mindestens fünf Jahre zurückliegt;</w:t>
      </w:r>
    </w:p>
    <w:p w14:paraId="2E2B63AA" w14:textId="31071667" w:rsidR="006D6B30" w:rsidRPr="00F41258" w:rsidRDefault="00F33971" w:rsidP="00D3289E">
      <w:pPr>
        <w:pStyle w:val="Listenabsatz"/>
        <w:numPr>
          <w:ilvl w:val="0"/>
          <w:numId w:val="1"/>
        </w:numPr>
        <w:ind w:left="0"/>
      </w:pPr>
      <w:r w:rsidRPr="00F41258">
        <w:t xml:space="preserve"> </w:t>
      </w:r>
      <w:r w:rsidR="00AD3D17" w:rsidRPr="00F41258">
        <w:t>„</w:t>
      </w:r>
      <w:r w:rsidR="00AD3D17" w:rsidRPr="00F41258">
        <w:rPr>
          <w:b/>
        </w:rPr>
        <w:t>Bewilligungszeitraum“</w:t>
      </w:r>
      <w:r w:rsidR="00AD3D17" w:rsidRPr="00F41258">
        <w:t xml:space="preserve">: beginnt mit dem Zuwendungsbescheid </w:t>
      </w:r>
      <w:r w:rsidR="00C342F1" w:rsidRPr="00F41258">
        <w:t xml:space="preserve">bzw. der Zusage </w:t>
      </w:r>
      <w:r w:rsidR="00AD3D17" w:rsidRPr="00F41258">
        <w:t>und umfasst die nach BEG zur Umsetzung der Maßnahme verfügbare Zeit; der Verwendungsnachweis ist nach Abschluss des Bewilligungszeitraums einzureichen;</w:t>
      </w:r>
    </w:p>
    <w:p w14:paraId="244600F6" w14:textId="612113A5" w:rsidR="00232CB1" w:rsidRPr="00F41258" w:rsidRDefault="00F33971" w:rsidP="00D3289E">
      <w:pPr>
        <w:pStyle w:val="Listenabsatz"/>
        <w:numPr>
          <w:ilvl w:val="0"/>
          <w:numId w:val="1"/>
        </w:numPr>
        <w:ind w:left="0"/>
      </w:pPr>
      <w:r w:rsidRPr="00F41258">
        <w:t xml:space="preserve"> </w:t>
      </w:r>
      <w:r w:rsidR="00232CB1" w:rsidRPr="00F41258">
        <w:t>„</w:t>
      </w:r>
      <w:r w:rsidR="00232CB1" w:rsidRPr="00F41258">
        <w:rPr>
          <w:b/>
        </w:rPr>
        <w:t>Contractoren</w:t>
      </w:r>
      <w:r w:rsidR="00232CB1" w:rsidRPr="00F41258">
        <w:t>“: natürliche und juristische Personen, die in Einrichtungen oder Räumlichkeiten eines Contractingnehmers Dienstleistungen zur Steigerung der Energieeffizienz oder zur gebäudenahen Energieversorgung aus erneuerbaren Energien erbringen, Investitionen tätigen oder Energieeffizienzmaßnahmen durchführen und dabei in eigenem Namen und auf eigene Rechnung handeln und das finanzielle Risiko tragen, wobei sich das Entgelt für die erbrachten Dienstleistungen ganz oder teilweise nach der Erzielung von Energieeffizienzverbesserungen und der Versorgung des Gebäudes mit erneuerbarer Energie richtet;</w:t>
      </w:r>
    </w:p>
    <w:p w14:paraId="2C9FAF0A" w14:textId="77F330DA" w:rsidR="00232CB1" w:rsidRPr="00F41258" w:rsidRDefault="00F33971" w:rsidP="00D3289E">
      <w:pPr>
        <w:pStyle w:val="Listenabsatz"/>
        <w:numPr>
          <w:ilvl w:val="0"/>
          <w:numId w:val="1"/>
        </w:numPr>
        <w:ind w:left="0"/>
      </w:pPr>
      <w:r w:rsidRPr="00F41258">
        <w:t xml:space="preserve"> </w:t>
      </w:r>
      <w:r w:rsidR="00232CB1" w:rsidRPr="00F41258">
        <w:t>„</w:t>
      </w:r>
      <w:r w:rsidR="00232CB1" w:rsidRPr="00F41258">
        <w:rPr>
          <w:b/>
        </w:rPr>
        <w:t>Durchführer</w:t>
      </w:r>
      <w:r w:rsidR="00232CB1" w:rsidRPr="00F41258">
        <w:t xml:space="preserve">“: die mit der Durchführung </w:t>
      </w:r>
      <w:r w:rsidR="005323C1" w:rsidRPr="00F41258">
        <w:t>der BEG</w:t>
      </w:r>
      <w:r w:rsidR="00232CB1" w:rsidRPr="00F41258">
        <w:t xml:space="preserve"> jeweils beauftragten </w:t>
      </w:r>
      <w:r w:rsidR="00240820" w:rsidRPr="00F41258">
        <w:t xml:space="preserve">administrierende Stelle </w:t>
      </w:r>
      <w:r w:rsidR="00232CB1" w:rsidRPr="00F41258">
        <w:t>KfW und BAFA;</w:t>
      </w:r>
    </w:p>
    <w:p w14:paraId="050AEC07" w14:textId="36E06322" w:rsidR="00232CB1" w:rsidRPr="00F41258" w:rsidRDefault="00F33971" w:rsidP="00D3289E">
      <w:pPr>
        <w:pStyle w:val="Listenabsatz"/>
        <w:numPr>
          <w:ilvl w:val="0"/>
          <w:numId w:val="1"/>
        </w:numPr>
        <w:ind w:left="0"/>
      </w:pPr>
      <w:r w:rsidRPr="00F41258">
        <w:t xml:space="preserve"> </w:t>
      </w:r>
      <w:r w:rsidR="00232CB1" w:rsidRPr="00F41258">
        <w:t>„</w:t>
      </w:r>
      <w:r w:rsidR="00232CB1" w:rsidRPr="00F41258">
        <w:rPr>
          <w:b/>
        </w:rPr>
        <w:t>energetische Sanierungsmaßnahmen</w:t>
      </w:r>
      <w:r w:rsidR="00232CB1" w:rsidRPr="00F41258">
        <w:t xml:space="preserve">“: alle Ein-, Umbau- und Optimierungsmaßnahmen an der Gebäudehülle oder der Anlagentechnik des Gebäudes, die am Gebäude oder im unmittelbaren räumlichen Zusammenhang zum Gebäude </w:t>
      </w:r>
      <w:r w:rsidR="00232CB1" w:rsidRPr="00F41258">
        <w:lastRenderedPageBreak/>
        <w:t>vorgenommen werden und auf die Verringerung des nicht-erneuerbaren Primärenergiebedarfs oder Transmissionswärmeverlustes gerichtet sind, wie beispielsweise die Wärmedämmung von Wänden</w:t>
      </w:r>
      <w:r w:rsidR="00CD0487" w:rsidRPr="00F41258">
        <w:t>,</w:t>
      </w:r>
      <w:r w:rsidR="00232CB1" w:rsidRPr="00F41258">
        <w:t xml:space="preserve"> Dachflächen</w:t>
      </w:r>
      <w:r w:rsidR="00A574F7" w:rsidRPr="00F41258">
        <w:t xml:space="preserve"> sowie andere Flächen des Bestandsgebäudes, die das beheizte oder gekühlte Gebäudevolumen begrenzen</w:t>
      </w:r>
      <w:r w:rsidR="00232CB1" w:rsidRPr="00F41258">
        <w:t>, die Erneuerung von Fenstern und Außentüren, die Erneuerung der Heizungsanlage im Gebäude oder der Einbau von Anlagen zur Heizungsunterstützung, die erneuerbare Energien nutzen</w:t>
      </w:r>
      <w:r w:rsidR="00A574F7" w:rsidRPr="00F41258">
        <w:t xml:space="preserve"> (z.B. Umweltwärme, Geothermie)</w:t>
      </w:r>
      <w:r w:rsidR="00232CB1" w:rsidRPr="00F41258">
        <w:t>,</w:t>
      </w:r>
      <w:r w:rsidR="00232CB1" w:rsidRPr="00F41258">
        <w:t xml:space="preserve"> der Einbau von Geräten zur digitalen Energieverbrauchsoptimierung, oder die Errichtung eines Wärmespeichers neben dem Gebäude;</w:t>
      </w:r>
    </w:p>
    <w:p w14:paraId="133A6706" w14:textId="5947E824" w:rsidR="005E2101" w:rsidRPr="00F41258" w:rsidRDefault="005E2101" w:rsidP="00D3289E">
      <w:pPr>
        <w:pStyle w:val="Listenabsatz"/>
        <w:numPr>
          <w:ilvl w:val="0"/>
          <w:numId w:val="1"/>
        </w:numPr>
        <w:spacing w:before="120" w:after="120"/>
        <w:ind w:left="0"/>
      </w:pPr>
      <w:bookmarkStart w:id="17" w:name="_Hlk107583584"/>
      <w:bookmarkStart w:id="18" w:name="_Hlk106199693"/>
      <w:r w:rsidRPr="00F41258">
        <w:t>„</w:t>
      </w:r>
      <w:r w:rsidRPr="00F41258">
        <w:rPr>
          <w:b/>
        </w:rPr>
        <w:t>Effizienzhäuser</w:t>
      </w:r>
      <w:r w:rsidRPr="00F41258">
        <w:t>“</w:t>
      </w:r>
      <w:r w:rsidRPr="00F41258">
        <w:rPr>
          <w:b/>
        </w:rPr>
        <w:t xml:space="preserve">: </w:t>
      </w:r>
      <w:r w:rsidRPr="00F41258">
        <w:t>Wohngebäude und Nichtwohngebäude, die sich durch eine energetisch optimierte Bauweise und Anlagentechnik auszeichnen und die die mit der BEG-</w:t>
      </w:r>
      <w:r w:rsidR="00103EB3" w:rsidRPr="00F41258">
        <w:t>Förderr</w:t>
      </w:r>
      <w:r w:rsidRPr="00F41258">
        <w:t>ichtlinie</w:t>
      </w:r>
      <w:r w:rsidRPr="00F41258">
        <w:t xml:space="preserve"> festgelegten technischen Mindestanforderungen an die Gesamtenergieeffizienz (Bezugsgröße: Primärenergiebedarf Q</w:t>
      </w:r>
      <w:r w:rsidRPr="00F41258">
        <w:rPr>
          <w:vertAlign w:val="subscript"/>
        </w:rPr>
        <w:t>P</w:t>
      </w:r>
      <w:r w:rsidRPr="00F41258">
        <w:t>) und an die Energieeffizienz der Gebäudehülle (Bezugsgröße Nichtwohngebäude: Mittelwerte der Wärmedurchgangskoeffizienten Ū, Bezugsgröße Wohngebäude: Transmissionswärmeverlust H</w:t>
      </w:r>
      <w:r w:rsidRPr="00F41258">
        <w:rPr>
          <w:vertAlign w:val="subscript"/>
        </w:rPr>
        <w:t>T</w:t>
      </w:r>
      <w:r w:rsidRPr="00F41258">
        <w:t>`) für eine Effizienzhaus</w:t>
      </w:r>
      <w:r w:rsidR="00473560" w:rsidRPr="00F41258">
        <w:t xml:space="preserve"> </w:t>
      </w:r>
      <w:r w:rsidRPr="00F41258">
        <w:t>(EH)-Stufe erreichen;</w:t>
      </w:r>
    </w:p>
    <w:bookmarkEnd w:id="17"/>
    <w:p w14:paraId="781380BE" w14:textId="75767FFD" w:rsidR="00232CB1" w:rsidRPr="00F41258" w:rsidRDefault="005E2101" w:rsidP="00D3289E">
      <w:pPr>
        <w:pStyle w:val="Listenabsatz"/>
        <w:numPr>
          <w:ilvl w:val="0"/>
          <w:numId w:val="1"/>
        </w:numPr>
        <w:ind w:left="0"/>
      </w:pPr>
      <w:r w:rsidRPr="00F41258" w:rsidDel="005E2101">
        <w:t xml:space="preserve"> </w:t>
      </w:r>
      <w:bookmarkEnd w:id="18"/>
      <w:r w:rsidR="00232CB1" w:rsidRPr="00F41258">
        <w:t>„</w:t>
      </w:r>
      <w:r w:rsidR="00232CB1" w:rsidRPr="00F41258">
        <w:rPr>
          <w:b/>
        </w:rPr>
        <w:t>Energieeffizienz-Experte</w:t>
      </w:r>
      <w:r w:rsidR="00372327" w:rsidRPr="00F41258">
        <w:rPr>
          <w:b/>
        </w:rPr>
        <w:t>/-Expertin</w:t>
      </w:r>
      <w:r w:rsidR="00232CB1" w:rsidRPr="00F41258">
        <w:t xml:space="preserve">“: alle in der Expertenliste unter </w:t>
      </w:r>
      <w:hyperlink r:id="rId8" w:tooltip="http://www.energie-effizienz-experten.de" w:history="1">
        <w:r w:rsidR="00232CB1" w:rsidRPr="00F41258">
          <w:rPr>
            <w:u w:val="single"/>
          </w:rPr>
          <w:t>www.energie-effizienz-experten.de</w:t>
        </w:r>
      </w:hyperlink>
      <w:r w:rsidR="00232CB1" w:rsidRPr="00F41258">
        <w:t xml:space="preserve"> in den Kategorien „</w:t>
      </w:r>
      <w:r w:rsidR="00F845A9" w:rsidRPr="00F41258">
        <w:t>BEG</w:t>
      </w:r>
      <w:r w:rsidR="0050132C" w:rsidRPr="00F41258">
        <w:t> </w:t>
      </w:r>
      <w:r w:rsidR="00F845A9" w:rsidRPr="00F41258">
        <w:t>-</w:t>
      </w:r>
      <w:r w:rsidR="0050132C" w:rsidRPr="00F41258">
        <w:t> </w:t>
      </w:r>
      <w:r w:rsidR="00232CB1" w:rsidRPr="00F41258">
        <w:t>Wohngebäude“, „</w:t>
      </w:r>
      <w:r w:rsidR="00F845A9" w:rsidRPr="00F41258">
        <w:t>BEG</w:t>
      </w:r>
      <w:r w:rsidR="0050132C" w:rsidRPr="00F41258">
        <w:t> </w:t>
      </w:r>
      <w:r w:rsidR="00F845A9" w:rsidRPr="00F41258">
        <w:t xml:space="preserve">- </w:t>
      </w:r>
      <w:r w:rsidR="00232CB1" w:rsidRPr="00F41258">
        <w:t>Nichtwohngebäude</w:t>
      </w:r>
      <w:r w:rsidR="00232CB1" w:rsidRPr="00F41258">
        <w:t>“</w:t>
      </w:r>
      <w:r w:rsidR="00F845A9" w:rsidRPr="00F41258">
        <w:t>, „BEG</w:t>
      </w:r>
      <w:r w:rsidR="0050132C" w:rsidRPr="00F41258">
        <w:t> </w:t>
      </w:r>
      <w:r w:rsidR="00F845A9" w:rsidRPr="00F41258">
        <w:t>–</w:t>
      </w:r>
      <w:r w:rsidR="0050132C" w:rsidRPr="00F41258">
        <w:t> </w:t>
      </w:r>
      <w:r w:rsidR="00F845A9" w:rsidRPr="00F41258">
        <w:t>Wohngebäude Denkmal</w:t>
      </w:r>
      <w:r w:rsidR="00232CB1" w:rsidRPr="00F41258">
        <w:t>“ und „</w:t>
      </w:r>
      <w:r w:rsidR="00F845A9" w:rsidRPr="00F41258">
        <w:t>BEG</w:t>
      </w:r>
      <w:r w:rsidR="0050132C" w:rsidRPr="00F41258">
        <w:t> </w:t>
      </w:r>
      <w:r w:rsidR="00F845A9" w:rsidRPr="00F41258">
        <w:t>–</w:t>
      </w:r>
      <w:r w:rsidR="0050132C" w:rsidRPr="00F41258">
        <w:t> </w:t>
      </w:r>
      <w:r w:rsidR="00F845A9" w:rsidRPr="00F41258">
        <w:t xml:space="preserve">Nichtwohngebäude </w:t>
      </w:r>
      <w:r w:rsidR="00232CB1" w:rsidRPr="00F41258">
        <w:t>Denkmal“ geführten Personen;</w:t>
      </w:r>
    </w:p>
    <w:p w14:paraId="1F3F0045" w14:textId="4936812C" w:rsidR="00232CB1" w:rsidRPr="00F41258" w:rsidRDefault="00F33971" w:rsidP="00D3289E">
      <w:pPr>
        <w:pStyle w:val="Listenabsatz"/>
        <w:numPr>
          <w:ilvl w:val="0"/>
          <w:numId w:val="1"/>
        </w:numPr>
        <w:ind w:left="0"/>
      </w:pPr>
      <w:r w:rsidRPr="00F41258">
        <w:t xml:space="preserve"> </w:t>
      </w:r>
      <w:r w:rsidR="00232CB1" w:rsidRPr="00F41258">
        <w:t>„</w:t>
      </w:r>
      <w:r w:rsidR="00232CB1" w:rsidRPr="00F41258">
        <w:rPr>
          <w:b/>
        </w:rPr>
        <w:t>Erneuerbare Energien</w:t>
      </w:r>
      <w:r w:rsidR="00232CB1" w:rsidRPr="00F41258">
        <w:t>“: Energie im Sinne von Artikel 2 Nummer 1 der Richtlinie (EU) 2018/2001 vom 11. Dezember 2018 (Erneuerbare-Energien-Richtlinie 2018);</w:t>
      </w:r>
    </w:p>
    <w:p w14:paraId="4B0642D6" w14:textId="74BC9439" w:rsidR="003A23F1" w:rsidRPr="00F41258" w:rsidRDefault="003A23F1" w:rsidP="00D3289E">
      <w:pPr>
        <w:pStyle w:val="Listenabsatz"/>
        <w:numPr>
          <w:ilvl w:val="0"/>
          <w:numId w:val="1"/>
        </w:numPr>
        <w:ind w:left="0"/>
      </w:pPr>
      <w:r w:rsidRPr="00F41258">
        <w:t>„</w:t>
      </w:r>
      <w:r w:rsidRPr="00F41258">
        <w:rPr>
          <w:b/>
        </w:rPr>
        <w:t>Etagenheizung</w:t>
      </w:r>
      <w:r w:rsidRPr="00F41258">
        <w:t>“: Wärmeerzeuger auf Basis von Gas oder fossilen Energieträgern, der in einem Mehrfamilienhaus eine einzelne Wohneinheit oder ein einzelnes Stockwerk mit Wärme versorgt und in der zu versorgenden Wohneinheit/im zu versorgenden Stockwerk aufgestellt ist. Eine Etagenheizung versorgt nicht das gesamte Gebäude mit Wärme;</w:t>
      </w:r>
    </w:p>
    <w:p w14:paraId="4EFA2BA9" w14:textId="77777777" w:rsidR="00232CB1" w:rsidRPr="00F41258" w:rsidRDefault="00232CB1" w:rsidP="00D3289E">
      <w:pPr>
        <w:pStyle w:val="Listenabsatz"/>
        <w:numPr>
          <w:ilvl w:val="0"/>
          <w:numId w:val="1"/>
        </w:numPr>
        <w:ind w:left="0"/>
      </w:pPr>
      <w:r w:rsidRPr="00F41258">
        <w:t>„</w:t>
      </w:r>
      <w:r w:rsidRPr="00F41258">
        <w:rPr>
          <w:b/>
        </w:rPr>
        <w:t>Fachunternehmer</w:t>
      </w:r>
      <w:r w:rsidRPr="00F41258">
        <w:t>“: Personen bzw. Unternehmen, die auf einen oder mehrere Leistungsbereiche (Gewerke) der Bauausführung spezialisiert und in diesem Bereich gewerblich tätig sind;</w:t>
      </w:r>
    </w:p>
    <w:p w14:paraId="2B5DB49E" w14:textId="64C24F8B" w:rsidR="002A5FDB" w:rsidRPr="00F41258" w:rsidRDefault="00AD5E8B" w:rsidP="002A5FDB">
      <w:pPr>
        <w:pStyle w:val="Listenabsatz"/>
        <w:numPr>
          <w:ilvl w:val="0"/>
          <w:numId w:val="1"/>
        </w:numPr>
        <w:spacing w:before="120" w:after="120"/>
        <w:ind w:left="0"/>
      </w:pPr>
      <w:r w:rsidRPr="00F41258">
        <w:t xml:space="preserve"> </w:t>
      </w:r>
      <w:r w:rsidR="00232CB1" w:rsidRPr="00F41258">
        <w:t>„</w:t>
      </w:r>
      <w:r w:rsidR="00232CB1" w:rsidRPr="00F41258">
        <w:rPr>
          <w:b/>
        </w:rPr>
        <w:t>Gebäudenetz</w:t>
      </w:r>
      <w:r w:rsidR="00232CB1" w:rsidRPr="00F41258">
        <w:t xml:space="preserve">“: Netz </w:t>
      </w:r>
      <w:r w:rsidR="0064609F" w:rsidRPr="00F41258">
        <w:t xml:space="preserve">nach § 3 Absatz 1 Nr. 9a GEG </w:t>
      </w:r>
      <w:r w:rsidR="00232CB1" w:rsidRPr="00F41258">
        <w:t xml:space="preserve">zur ausschließlichen Versorgung mit Wärme </w:t>
      </w:r>
      <w:r w:rsidR="006D5C7B" w:rsidRPr="00F41258">
        <w:t xml:space="preserve">und Kälte </w:t>
      </w:r>
      <w:r w:rsidR="00232CB1" w:rsidRPr="00F41258">
        <w:t xml:space="preserve">von </w:t>
      </w:r>
      <w:r w:rsidR="00EA31EA" w:rsidRPr="00F41258">
        <w:t xml:space="preserve">mindestens zwei und </w:t>
      </w:r>
      <w:r w:rsidR="00232CB1" w:rsidRPr="00F41258">
        <w:t>bis zu 16 Gebäuden (Wohngebäude oder Nichtwohngebäude) und bis zu 100 Wohneinheiten;</w:t>
      </w:r>
      <w:r w:rsidR="002A5FDB" w:rsidRPr="00F41258">
        <w:t xml:space="preserve"> </w:t>
      </w:r>
    </w:p>
    <w:p w14:paraId="59D2A73C" w14:textId="617F0356" w:rsidR="00515ECD" w:rsidRPr="00F41258" w:rsidRDefault="00E95532" w:rsidP="00483E3D">
      <w:pPr>
        <w:pStyle w:val="Listenabsatz"/>
        <w:numPr>
          <w:ilvl w:val="0"/>
          <w:numId w:val="1"/>
        </w:numPr>
        <w:ind w:left="0"/>
        <w:rPr>
          <w:i/>
        </w:rPr>
      </w:pPr>
      <w:bookmarkStart w:id="19" w:name="_Hlk144971361"/>
      <w:r w:rsidRPr="00F41258">
        <w:t xml:space="preserve"> </w:t>
      </w:r>
      <w:r w:rsidR="00515ECD" w:rsidRPr="00F41258">
        <w:t>„</w:t>
      </w:r>
      <w:r w:rsidR="00515ECD" w:rsidRPr="00F41258">
        <w:rPr>
          <w:b/>
        </w:rPr>
        <w:t>Investitionsmehrkosten</w:t>
      </w:r>
      <w:r w:rsidR="00515ECD" w:rsidRPr="00F41258">
        <w:t>“</w:t>
      </w:r>
      <w:r w:rsidR="007E6B9D" w:rsidRPr="00F41258">
        <w:t xml:space="preserve">: </w:t>
      </w:r>
      <w:r w:rsidR="009D6D52" w:rsidRPr="00F41258">
        <w:t xml:space="preserve">sind die zusätzlichen Kosten für die Errichtung einer Gas-Brennwertheizung, die bauartbedingt zu 100 % mit Wasserstoff betrieben werden kann gegenüber einer Gas-Brennwertheizungen, die bauartbedingt nicht mit 100 % Wasserstoff betrieben werden kann. </w:t>
      </w:r>
      <w:r w:rsidR="0062489F" w:rsidRPr="00F41258">
        <w:t>Näheres regelt das „Infoblatt zu den förderfähigen Maßnahmen und Leistungen</w:t>
      </w:r>
      <w:r w:rsidR="006A3FE9" w:rsidRPr="00F41258">
        <w:t>“</w:t>
      </w:r>
      <w:r w:rsidR="0062489F" w:rsidRPr="00F41258">
        <w:t>;</w:t>
      </w:r>
    </w:p>
    <w:bookmarkEnd w:id="19"/>
    <w:p w14:paraId="6E69CF01" w14:textId="77730B35" w:rsidR="00232CB1" w:rsidRPr="00F41258" w:rsidRDefault="002A5FDB" w:rsidP="00622573">
      <w:pPr>
        <w:pStyle w:val="Listenabsatz"/>
        <w:numPr>
          <w:ilvl w:val="0"/>
          <w:numId w:val="1"/>
        </w:numPr>
        <w:tabs>
          <w:tab w:val="clear" w:pos="216"/>
          <w:tab w:val="left" w:pos="142"/>
        </w:tabs>
        <w:spacing w:before="120" w:after="120"/>
        <w:ind w:left="0"/>
        <w:rPr>
          <w:b/>
        </w:rPr>
      </w:pPr>
      <w:r w:rsidRPr="00F41258">
        <w:t>„</w:t>
      </w:r>
      <w:r w:rsidRPr="00F41258">
        <w:rPr>
          <w:b/>
        </w:rPr>
        <w:t>Investor</w:t>
      </w:r>
      <w:r w:rsidRPr="00F41258">
        <w:t>“</w:t>
      </w:r>
      <w:r w:rsidRPr="00F41258">
        <w:rPr>
          <w:b/>
        </w:rPr>
        <w:t xml:space="preserve">: </w:t>
      </w:r>
      <w:r w:rsidRPr="00F41258">
        <w:t>der Auftraggeber der Maßnahme sowie der Ersterwerber von sanierten Gebäuden oder Wohnungen;</w:t>
      </w:r>
    </w:p>
    <w:p w14:paraId="5D490D46" w14:textId="54A07963" w:rsidR="00AD3D17" w:rsidRPr="00F41258" w:rsidRDefault="00AD5E8B" w:rsidP="002A5FDB">
      <w:pPr>
        <w:pStyle w:val="Listenabsatz"/>
        <w:numPr>
          <w:ilvl w:val="0"/>
          <w:numId w:val="1"/>
        </w:numPr>
        <w:spacing w:before="120" w:after="120"/>
        <w:ind w:left="0"/>
        <w:rPr>
          <w:b/>
        </w:rPr>
      </w:pPr>
      <w:bookmarkStart w:id="20" w:name="_Hlk105674829"/>
      <w:r w:rsidRPr="00F41258">
        <w:t xml:space="preserve"> </w:t>
      </w:r>
      <w:r w:rsidR="005C3018" w:rsidRPr="00F41258">
        <w:t>„</w:t>
      </w:r>
      <w:r w:rsidR="005C3018" w:rsidRPr="00F41258">
        <w:rPr>
          <w:b/>
        </w:rPr>
        <w:t>Kommunale Antragsteller</w:t>
      </w:r>
      <w:r w:rsidR="005C3018" w:rsidRPr="00F41258">
        <w:t>“</w:t>
      </w:r>
      <w:r w:rsidR="005C3018" w:rsidRPr="00F41258">
        <w:rPr>
          <w:b/>
        </w:rPr>
        <w:t xml:space="preserve">: </w:t>
      </w:r>
      <w:r w:rsidR="005C3018" w:rsidRPr="00F41258">
        <w:t>kommunale Gebietskörperschaften, Gemeinde- und Zweckverbände und rechtlich unselbständige Eigenbetriebe von kommunalen Gebietskörperschaften;</w:t>
      </w:r>
      <w:bookmarkEnd w:id="20"/>
    </w:p>
    <w:p w14:paraId="6C3746AE" w14:textId="35306D1E" w:rsidR="00232CB1" w:rsidRPr="00F41258" w:rsidRDefault="00AD5E8B" w:rsidP="00B801C5">
      <w:pPr>
        <w:pStyle w:val="Listenabsatz"/>
        <w:numPr>
          <w:ilvl w:val="0"/>
          <w:numId w:val="1"/>
        </w:numPr>
        <w:ind w:left="0"/>
      </w:pPr>
      <w:r w:rsidRPr="00F41258">
        <w:t xml:space="preserve"> </w:t>
      </w:r>
      <w:r w:rsidR="00232CB1" w:rsidRPr="00F41258">
        <w:t>„</w:t>
      </w:r>
      <w:r w:rsidR="00232CB1" w:rsidRPr="00F41258">
        <w:rPr>
          <w:b/>
        </w:rPr>
        <w:t>Nichtwohngebäude</w:t>
      </w:r>
      <w:r w:rsidR="00232CB1" w:rsidRPr="00F41258">
        <w:t xml:space="preserve">“: Gebäude, die in den Anwendungsbereich des GEG fallen und keine Wohngebäude im Sinne von § 3 Absatz 1 Nummer 33 GEG sind, also nach ihrer Zweckbestimmung nicht überwiegend dem Wohnen dienen. Boardinghäuser (gewerbliche Beherbergungsbetriebe) sowie Gebäude zur Ferien-/Wochenendnutzung sind nur dann </w:t>
      </w:r>
      <w:r w:rsidR="00232CB1" w:rsidRPr="00F41258">
        <w:lastRenderedPageBreak/>
        <w:t xml:space="preserve">förderfähige Nichtwohngebäude im Sinne dieser </w:t>
      </w:r>
      <w:r w:rsidR="00103EB3" w:rsidRPr="00F41258">
        <w:t>Förderr</w:t>
      </w:r>
      <w:r w:rsidR="00232CB1" w:rsidRPr="00F41258">
        <w:t>ichtlinie</w:t>
      </w:r>
      <w:r w:rsidR="00232CB1" w:rsidRPr="00F41258">
        <w:t>, sofern sie in den Anwendungsbereich des GEG fallen und eine baurechtliche Einordnung als Nichtwohngebäude vorliegt);</w:t>
      </w:r>
    </w:p>
    <w:p w14:paraId="44AA77C1" w14:textId="5DB8F0CA" w:rsidR="00037E70" w:rsidRPr="00F41258" w:rsidRDefault="00AD5E8B" w:rsidP="00B801C5">
      <w:pPr>
        <w:pStyle w:val="Listenabsatz"/>
        <w:numPr>
          <w:ilvl w:val="0"/>
          <w:numId w:val="1"/>
        </w:numPr>
        <w:ind w:left="0"/>
      </w:pPr>
      <w:r w:rsidRPr="00F41258">
        <w:t xml:space="preserve"> </w:t>
      </w:r>
      <w:r w:rsidR="00037E70" w:rsidRPr="00F41258">
        <w:t>„</w:t>
      </w:r>
      <w:r w:rsidR="00037E70" w:rsidRPr="00F41258">
        <w:rPr>
          <w:b/>
        </w:rPr>
        <w:t xml:space="preserve">Selbstnutzende </w:t>
      </w:r>
      <w:r w:rsidR="002A4D72" w:rsidRPr="00F41258">
        <w:rPr>
          <w:b/>
        </w:rPr>
        <w:t>Eigentümer</w:t>
      </w:r>
      <w:r w:rsidR="00037E70" w:rsidRPr="00F41258">
        <w:t>“:</w:t>
      </w:r>
      <w:r w:rsidR="001E6870" w:rsidRPr="00F41258" w:rsidDel="002A4D72">
        <w:t xml:space="preserve"> </w:t>
      </w:r>
      <w:r w:rsidR="001E6870" w:rsidRPr="00F41258">
        <w:t xml:space="preserve">sind </w:t>
      </w:r>
      <w:r w:rsidR="009F7C89" w:rsidRPr="00F41258">
        <w:t>(Mit-)</w:t>
      </w:r>
      <w:r w:rsidR="001E6870" w:rsidRPr="00F41258">
        <w:t xml:space="preserve">Eigentümer von </w:t>
      </w:r>
      <w:r w:rsidR="00184998" w:rsidRPr="00F41258">
        <w:t>Wohngebäuden</w:t>
      </w:r>
      <w:r w:rsidR="00203229" w:rsidRPr="00F41258">
        <w:t xml:space="preserve"> und Eigentumswohnungen</w:t>
      </w:r>
      <w:r w:rsidR="001E6870" w:rsidRPr="00F41258">
        <w:t xml:space="preserve">, die sie zum Zeitpunkt der Antragstellung selbst </w:t>
      </w:r>
      <w:r w:rsidR="00B96E0A" w:rsidRPr="00F41258">
        <w:t>als</w:t>
      </w:r>
      <w:r w:rsidR="001E6870" w:rsidRPr="00F41258">
        <w:t xml:space="preserve"> Haupt</w:t>
      </w:r>
      <w:r w:rsidR="00B96E0A" w:rsidRPr="00F41258">
        <w:t>- oder alleinige Wohnung</w:t>
      </w:r>
      <w:r w:rsidR="001E6870" w:rsidRPr="00F41258">
        <w:t xml:space="preserve"> bewohnen.</w:t>
      </w:r>
      <w:r w:rsidR="000D630F" w:rsidRPr="00F41258">
        <w:t xml:space="preserve"> Die </w:t>
      </w:r>
      <w:r w:rsidR="009F7C89" w:rsidRPr="00F41258">
        <w:t>(Mit-)</w:t>
      </w:r>
      <w:r w:rsidR="000D630F" w:rsidRPr="00F41258">
        <w:t>Eigentümerstellung wird durch Grundbuchauszug und d</w:t>
      </w:r>
      <w:r w:rsidR="00B96E0A" w:rsidRPr="00F41258">
        <w:t>i</w:t>
      </w:r>
      <w:r w:rsidR="000D630F" w:rsidRPr="00F41258">
        <w:t>e Haupt</w:t>
      </w:r>
      <w:r w:rsidR="00B96E0A" w:rsidRPr="00F41258">
        <w:t>- oder alleinige W</w:t>
      </w:r>
      <w:r w:rsidR="000D630F" w:rsidRPr="00F41258">
        <w:t>ohn</w:t>
      </w:r>
      <w:r w:rsidR="00B96E0A" w:rsidRPr="00F41258">
        <w:t>ung</w:t>
      </w:r>
      <w:r w:rsidR="000D630F" w:rsidRPr="00F41258">
        <w:t xml:space="preserve"> durch Meldebescheinigung nachgewiesen;</w:t>
      </w:r>
    </w:p>
    <w:p w14:paraId="1F9F8204" w14:textId="1DD6E800" w:rsidR="00232CB1" w:rsidRPr="00F41258" w:rsidRDefault="003433B6" w:rsidP="00B801C5">
      <w:pPr>
        <w:pStyle w:val="Listenabsatz"/>
        <w:numPr>
          <w:ilvl w:val="0"/>
          <w:numId w:val="1"/>
        </w:numPr>
        <w:ind w:left="0"/>
      </w:pPr>
      <w:r w:rsidRPr="00F41258">
        <w:t xml:space="preserve"> </w:t>
      </w:r>
      <w:r w:rsidR="00232CB1" w:rsidRPr="00F41258">
        <w:t>„</w:t>
      </w:r>
      <w:r w:rsidR="00232CB1" w:rsidRPr="00F41258">
        <w:rPr>
          <w:b/>
        </w:rPr>
        <w:t>Technische Mindestanforderungen</w:t>
      </w:r>
      <w:r w:rsidR="00232CB1" w:rsidRPr="00F41258">
        <w:t xml:space="preserve">“: die in der Anlage aufgeführten technischen Anforderungen zu den einzelnen Fördertatbeständen dieser </w:t>
      </w:r>
      <w:r w:rsidR="00103EB3" w:rsidRPr="00F41258">
        <w:t>Förderr</w:t>
      </w:r>
      <w:r w:rsidR="00232CB1" w:rsidRPr="00F41258">
        <w:t>ichtlinie</w:t>
      </w:r>
      <w:r w:rsidR="00232CB1" w:rsidRPr="00F41258">
        <w:t>; beispielsweise an die Dämmung von Außenwänden;</w:t>
      </w:r>
    </w:p>
    <w:p w14:paraId="454B9038" w14:textId="145450F2" w:rsidR="00232CB1" w:rsidRPr="00F41258" w:rsidRDefault="00232CB1" w:rsidP="00B801C5">
      <w:pPr>
        <w:pStyle w:val="Listenabsatz"/>
        <w:numPr>
          <w:ilvl w:val="0"/>
          <w:numId w:val="1"/>
        </w:numPr>
        <w:ind w:left="0"/>
      </w:pPr>
      <w:r w:rsidRPr="00F41258">
        <w:t>„</w:t>
      </w:r>
      <w:r w:rsidRPr="00F41258">
        <w:rPr>
          <w:b/>
        </w:rPr>
        <w:t>Umfeldmaßnahmen</w:t>
      </w:r>
      <w:r w:rsidRPr="00F41258">
        <w:t xml:space="preserve">“: </w:t>
      </w:r>
      <w:bookmarkStart w:id="21" w:name="_Hlk141948944"/>
      <w:r w:rsidR="00E57276" w:rsidRPr="00F41258">
        <w:t>notwendige Nebenarbeiten, die unmittelbar zur</w:t>
      </w:r>
      <w:r w:rsidRPr="00F41258">
        <w:t xml:space="preserve"> Vorbereitung und Umsetzung </w:t>
      </w:r>
      <w:r w:rsidR="00E57276" w:rsidRPr="00F41258">
        <w:t xml:space="preserve">sowie für die Ausführungen und Funktionstüchtigkeit einer förderfähigen Maßnahme notwendig sind und/oder deren Energieeffizienz erhöhen bzw. absichern. Näheres regelt das „Infoblatt zu den förderfähigen Maßnahmen und Leistungen“; </w:t>
      </w:r>
      <w:bookmarkEnd w:id="21"/>
    </w:p>
    <w:p w14:paraId="20A468E3" w14:textId="5E689E9A" w:rsidR="00096A51" w:rsidRPr="00F41258" w:rsidRDefault="003433B6" w:rsidP="00B801C5">
      <w:pPr>
        <w:pStyle w:val="Listenabsatz"/>
        <w:numPr>
          <w:ilvl w:val="0"/>
          <w:numId w:val="1"/>
        </w:numPr>
        <w:ind w:left="0"/>
      </w:pPr>
      <w:bookmarkStart w:id="22" w:name="_Hlk106691485"/>
      <w:r w:rsidRPr="00F41258">
        <w:t xml:space="preserve"> </w:t>
      </w:r>
      <w:r w:rsidR="005C3018" w:rsidRPr="00F41258">
        <w:t>„</w:t>
      </w:r>
      <w:r w:rsidR="00096A51" w:rsidRPr="00F41258">
        <w:rPr>
          <w:b/>
        </w:rPr>
        <w:t>Unvermeidbare Abwärme</w:t>
      </w:r>
      <w:r w:rsidR="005C3018" w:rsidRPr="00F41258">
        <w:t>“</w:t>
      </w:r>
      <w:r w:rsidR="00096A51" w:rsidRPr="00F41258">
        <w:t>:</w:t>
      </w:r>
      <w:r w:rsidR="005C3018" w:rsidRPr="00F41258">
        <w:t xml:space="preserve"> ist </w:t>
      </w:r>
      <w:r w:rsidR="002A3B25" w:rsidRPr="00F41258">
        <w:t xml:space="preserve">der Anteil der </w:t>
      </w:r>
      <w:r w:rsidR="005C3018" w:rsidRPr="00F41258">
        <w:t xml:space="preserve">Wärme, </w:t>
      </w:r>
      <w:r w:rsidR="002A3B25" w:rsidRPr="00F41258">
        <w:t>der</w:t>
      </w:r>
      <w:r w:rsidR="005C3018" w:rsidRPr="00F41258">
        <w:t xml:space="preserve"> als Nebenprodukt in einer Industrie- oder Gewerbeanlage oder im tertiären Sektor (etwa IT-Rechenzentren etc.) </w:t>
      </w:r>
      <w:r w:rsidR="002A3B25" w:rsidRPr="00F41258">
        <w:rPr>
          <w:iCs/>
        </w:rPr>
        <w:t xml:space="preserve">aufgrund thermodynamischer Gesetzmäßigkeiten </w:t>
      </w:r>
      <w:r w:rsidR="005C3018" w:rsidRPr="00F41258">
        <w:t>anfällt</w:t>
      </w:r>
      <w:r w:rsidR="002A3B25" w:rsidRPr="00F41258">
        <w:t xml:space="preserve">, </w:t>
      </w:r>
      <w:r w:rsidR="002A3B25" w:rsidRPr="00F41258">
        <w:rPr>
          <w:iCs/>
        </w:rPr>
        <w:t>nicht durch Anwendung des Standes der Technik vermieden werden kann, in einem Produktionsprozess nicht nutzbar ist</w:t>
      </w:r>
      <w:r w:rsidR="005C3018" w:rsidRPr="00F41258">
        <w:t xml:space="preserve"> und </w:t>
      </w:r>
      <w:r w:rsidR="002A3B25" w:rsidRPr="00F41258">
        <w:rPr>
          <w:iCs/>
        </w:rPr>
        <w:t>ohne den Zugang zu einem Wärmenetz</w:t>
      </w:r>
      <w:r w:rsidR="005C3018" w:rsidRPr="00F41258">
        <w:t xml:space="preserve"> ungenutzt in </w:t>
      </w:r>
      <w:r w:rsidR="00264375" w:rsidRPr="00F41258">
        <w:t>L</w:t>
      </w:r>
      <w:r w:rsidR="00264375" w:rsidRPr="00F41258" w:rsidDel="0064609F">
        <w:t>uft</w:t>
      </w:r>
      <w:r w:rsidR="005C3018" w:rsidRPr="00F41258">
        <w:t xml:space="preserve"> oder Wasser abgeleitet werden würde. Die Wärme aus KWK-Anlagen sowie aus der thermischen Verwertung von Abfall sind keine unvermeidbare Abwärme im Sinne der BEG;</w:t>
      </w:r>
    </w:p>
    <w:bookmarkEnd w:id="22"/>
    <w:p w14:paraId="7EE89A18" w14:textId="1782FC02" w:rsidR="00232CB1" w:rsidRPr="00F41258" w:rsidRDefault="00232CB1" w:rsidP="00B801C5">
      <w:pPr>
        <w:pStyle w:val="Listenabsatz"/>
        <w:numPr>
          <w:ilvl w:val="0"/>
          <w:numId w:val="1"/>
        </w:numPr>
        <w:ind w:left="0"/>
      </w:pPr>
      <w:r w:rsidRPr="00F41258">
        <w:t>„</w:t>
      </w:r>
      <w:r w:rsidRPr="00F41258">
        <w:rPr>
          <w:b/>
        </w:rPr>
        <w:t>Wärmenetz</w:t>
      </w:r>
      <w:r w:rsidRPr="00F41258">
        <w:t xml:space="preserve">“: </w:t>
      </w:r>
      <w:r w:rsidR="00805614" w:rsidRPr="00F41258">
        <w:t xml:space="preserve">ist </w:t>
      </w:r>
      <w:r w:rsidR="0064609F" w:rsidRPr="00F41258">
        <w:t xml:space="preserve">eine Einrichtung zur leitungsgebundenen </w:t>
      </w:r>
      <w:r w:rsidRPr="00F41258">
        <w:t>Versorgung mit Wärme und ist kein Gebäudenetz;</w:t>
      </w:r>
    </w:p>
    <w:p w14:paraId="3C6C7E2F" w14:textId="77777777" w:rsidR="00232CB1" w:rsidRPr="00F41258" w:rsidRDefault="003433B6" w:rsidP="00B801C5">
      <w:pPr>
        <w:pStyle w:val="Listenabsatz"/>
        <w:numPr>
          <w:ilvl w:val="0"/>
          <w:numId w:val="1"/>
        </w:numPr>
        <w:ind w:left="0"/>
      </w:pPr>
      <w:r w:rsidRPr="00F41258">
        <w:t xml:space="preserve"> </w:t>
      </w:r>
      <w:r w:rsidR="00232CB1" w:rsidRPr="00F41258">
        <w:t>„</w:t>
      </w:r>
      <w:r w:rsidR="00232CB1" w:rsidRPr="00F41258">
        <w:rPr>
          <w:b/>
        </w:rPr>
        <w:t>Wohneinheiten</w:t>
      </w:r>
      <w:r w:rsidR="00232CB1" w:rsidRPr="00F41258">
        <w:t xml:space="preserve">“: in einem abgeschlossenen Zusammenhang liegende und zu dauerhaften Wohnzwecken bestimmte Räume in Wohngebäuden, die die Führung eines eigenen Haushalts ermöglichen und daher mindestens über die nachfolgende Ausstattung verfügen: eigener abschließbarer Zugang, Versorgungsanschlüsse für </w:t>
      </w:r>
      <w:bookmarkStart w:id="23" w:name="_Hlk68698556"/>
      <w:r w:rsidR="00232CB1" w:rsidRPr="00F41258">
        <w:t xml:space="preserve">bzw. bei Wohn-, Alten- und Pflegeheimen Zugänge zu </w:t>
      </w:r>
      <w:bookmarkEnd w:id="23"/>
      <w:r w:rsidR="00232CB1" w:rsidRPr="00F41258">
        <w:t>Küche, Badezimmer und Toilette (bei Pflegeheimen ist eine separate Küche entbehrlich);</w:t>
      </w:r>
    </w:p>
    <w:p w14:paraId="2931A778" w14:textId="170AA5FB" w:rsidR="00232CB1" w:rsidRPr="00F41258" w:rsidRDefault="0011771E" w:rsidP="00B801C5">
      <w:pPr>
        <w:pStyle w:val="Listenabsatz"/>
        <w:numPr>
          <w:ilvl w:val="0"/>
          <w:numId w:val="2"/>
        </w:numPr>
        <w:ind w:left="0"/>
      </w:pPr>
      <w:r w:rsidRPr="00F41258">
        <w:tab/>
      </w:r>
      <w:r w:rsidR="00232CB1" w:rsidRPr="00F41258">
        <w:t>„</w:t>
      </w:r>
      <w:r w:rsidR="00232CB1" w:rsidRPr="00F41258">
        <w:rPr>
          <w:b/>
        </w:rPr>
        <w:t>Wohngebäude</w:t>
      </w:r>
      <w:r w:rsidR="00232CB1" w:rsidRPr="00F41258">
        <w:t xml:space="preserve">“: Gebäude nach § 3 Absatz 1 Nummer 33 GEG, die nach ihrer Zweckbestimmung überwiegend dem Wohnen dienen. Hierzu gehören auch Wohn-, Alten- und Pflegeheime und ähnliche Einrichtungen. Ferienhäuser und -wohnungen sowie Wochenendhäuser sind nur dann förderfähige Wohngebäude im Sinne dieser </w:t>
      </w:r>
      <w:r w:rsidR="00103EB3" w:rsidRPr="00F41258">
        <w:t>Förderr</w:t>
      </w:r>
      <w:r w:rsidR="00232CB1" w:rsidRPr="00F41258">
        <w:t>ichtlinie</w:t>
      </w:r>
      <w:r w:rsidR="00232CB1" w:rsidRPr="00F41258">
        <w:t>, sofern sie in den Anwendungsbereich des GEG fallen</w:t>
      </w:r>
      <w:r w:rsidR="00232CB1" w:rsidRPr="00F41258">
        <w:rPr>
          <w:b/>
        </w:rPr>
        <w:t>.</w:t>
      </w:r>
    </w:p>
    <w:p w14:paraId="0C6589D6" w14:textId="02073374" w:rsidR="00BD2F88" w:rsidRPr="00F41258" w:rsidRDefault="0011771E" w:rsidP="00B801C5">
      <w:pPr>
        <w:pStyle w:val="Listenabsatz"/>
        <w:numPr>
          <w:ilvl w:val="0"/>
          <w:numId w:val="2"/>
        </w:numPr>
        <w:ind w:left="0"/>
      </w:pPr>
      <w:r w:rsidRPr="00F41258">
        <w:tab/>
      </w:r>
      <w:r w:rsidR="007F6C62" w:rsidRPr="00F41258">
        <w:t>„</w:t>
      </w:r>
      <w:r w:rsidR="00BD2F88" w:rsidRPr="00F41258">
        <w:rPr>
          <w:b/>
        </w:rPr>
        <w:t>Zu versteuerndes Haushalts</w:t>
      </w:r>
      <w:r w:rsidR="006D5C7B" w:rsidRPr="00F41258">
        <w:rPr>
          <w:b/>
        </w:rPr>
        <w:t>jahrese</w:t>
      </w:r>
      <w:r w:rsidR="00BD2F88" w:rsidRPr="00F41258">
        <w:rPr>
          <w:b/>
        </w:rPr>
        <w:t>inkommen</w:t>
      </w:r>
      <w:r w:rsidR="007F6C62" w:rsidRPr="00F41258">
        <w:t xml:space="preserve">“: </w:t>
      </w:r>
      <w:r w:rsidR="002F5EA0" w:rsidRPr="00F41258">
        <w:t xml:space="preserve">ergibt sich </w:t>
      </w:r>
      <w:r w:rsidR="00D860A7" w:rsidRPr="00F41258">
        <w:t xml:space="preserve">aus </w:t>
      </w:r>
      <w:r w:rsidR="006411F6" w:rsidRPr="00F41258">
        <w:t>de</w:t>
      </w:r>
      <w:r w:rsidR="00D860A7" w:rsidRPr="00F41258">
        <w:t>m</w:t>
      </w:r>
      <w:r w:rsidR="006411F6" w:rsidRPr="00F41258">
        <w:t xml:space="preserve"> </w:t>
      </w:r>
      <w:r w:rsidR="00296C93" w:rsidRPr="00F41258">
        <w:t>E</w:t>
      </w:r>
      <w:r w:rsidR="002F5EA0" w:rsidRPr="00F41258">
        <w:t>inkommen</w:t>
      </w:r>
      <w:r w:rsidR="00264375" w:rsidRPr="00F41258">
        <w:t xml:space="preserve"> eines Kalenderjahres</w:t>
      </w:r>
      <w:r w:rsidR="002F5EA0" w:rsidRPr="00F41258">
        <w:t xml:space="preserve"> </w:t>
      </w:r>
      <w:r w:rsidR="00296C93" w:rsidRPr="00F41258">
        <w:t xml:space="preserve">der im Haushalt wohnenden </w:t>
      </w:r>
      <w:r w:rsidR="004D5E5E" w:rsidRPr="00F41258">
        <w:t>selbstnutzenden (Mit-)</w:t>
      </w:r>
      <w:r w:rsidR="002F5EA0" w:rsidRPr="00F41258">
        <w:t xml:space="preserve">Eigentümer sowie </w:t>
      </w:r>
      <w:r w:rsidR="00523845" w:rsidRPr="00F41258">
        <w:t>deren</w:t>
      </w:r>
      <w:r w:rsidR="002F5EA0" w:rsidRPr="00F41258">
        <w:t xml:space="preserve"> im Haushalt lebenden Ehe- oder Lebenspartner oder de</w:t>
      </w:r>
      <w:r w:rsidR="00296C93" w:rsidRPr="00F41258">
        <w:t>r</w:t>
      </w:r>
      <w:r w:rsidR="002F5EA0" w:rsidRPr="00F41258">
        <w:t xml:space="preserve"> Partner aus eheähnlicher Gemeinschaft zum Zeitpunkt der Antragstellung. Für das Haushaltsjahreseinkommen wird der </w:t>
      </w:r>
      <w:r w:rsidR="006411F6" w:rsidRPr="00F41258">
        <w:t xml:space="preserve">Durchschnitt </w:t>
      </w:r>
      <w:r w:rsidR="002F5EA0" w:rsidRPr="00F41258">
        <w:t xml:space="preserve">aus den </w:t>
      </w:r>
      <w:r w:rsidR="006411F6" w:rsidRPr="00F41258">
        <w:t xml:space="preserve">zu versteuernden </w:t>
      </w:r>
      <w:r w:rsidR="002F5EA0" w:rsidRPr="00F41258">
        <w:t xml:space="preserve">Einkommen </w:t>
      </w:r>
      <w:r w:rsidR="006411F6" w:rsidRPr="00F41258">
        <w:t>des zweiten und dritten Jahres vor Antragseingang ermittelt</w:t>
      </w:r>
      <w:r w:rsidR="002F5EA0" w:rsidRPr="00F41258">
        <w:t>. Das zu versteuernde Haushaltseinkommen wird anhand der Einkommensteuerbescheide des Finanzamtes nachgewiesen</w:t>
      </w:r>
      <w:r w:rsidR="001B6D57" w:rsidRPr="00F41258">
        <w:t>.</w:t>
      </w:r>
    </w:p>
    <w:p w14:paraId="70F26AA0" w14:textId="36F43ED9" w:rsidR="00232CB1" w:rsidRPr="00F41258" w:rsidRDefault="00232CB1" w:rsidP="00583FF0">
      <w:pPr>
        <w:pStyle w:val="berschrift1"/>
      </w:pPr>
      <w:bookmarkStart w:id="24" w:name="_Toc112915680"/>
      <w:bookmarkStart w:id="25" w:name="_Toc144907995"/>
      <w:r w:rsidRPr="00F41258">
        <w:t>Förderziel und Förderzweck</w:t>
      </w:r>
      <w:bookmarkEnd w:id="24"/>
      <w:bookmarkEnd w:id="25"/>
    </w:p>
    <w:p w14:paraId="1EF179A2" w14:textId="3E0DD170" w:rsidR="00232CB1" w:rsidRPr="00F41258" w:rsidRDefault="00232CB1" w:rsidP="00583FF0">
      <w:r w:rsidRPr="00F41258">
        <w:t xml:space="preserve">Ziel dieser </w:t>
      </w:r>
      <w:r w:rsidR="00103EB3" w:rsidRPr="00F41258">
        <w:t>Förderr</w:t>
      </w:r>
      <w:r w:rsidRPr="00F41258">
        <w:t>ichtlinie</w:t>
      </w:r>
      <w:r w:rsidRPr="00F41258">
        <w:t xml:space="preserve"> ist es, Investitionen in Einzelmaßnahmen anzureizen, mit denen die Energieeffizienz und der Anteil erneuerbarer Energien am Endenergieverbrauch für </w:t>
      </w:r>
      <w:r w:rsidRPr="00F41258">
        <w:lastRenderedPageBreak/>
        <w:t xml:space="preserve">Wärme und Kälte gesteigert und die </w:t>
      </w:r>
      <w:r w:rsidR="008F5480" w:rsidRPr="00F41258">
        <w:t>THG</w:t>
      </w:r>
      <w:r w:rsidRPr="00F41258">
        <w:t xml:space="preserve">-Emissionen </w:t>
      </w:r>
      <w:r w:rsidR="008304FD" w:rsidRPr="00F41258">
        <w:t>in Gebäuden – oder durch diese verursacht –</w:t>
      </w:r>
      <w:r w:rsidRPr="00F41258">
        <w:t xml:space="preserve"> in Deutschland gesenkt werden. Das Erreichen einer (neuen) Effizienzhaus-</w:t>
      </w:r>
      <w:r w:rsidR="00812DE6" w:rsidRPr="00F41258">
        <w:t>S</w:t>
      </w:r>
      <w:r w:rsidRPr="00F41258">
        <w:t xml:space="preserve">tufe durch die mit dieser </w:t>
      </w:r>
      <w:r w:rsidR="00103EB3" w:rsidRPr="00F41258">
        <w:t>Förderr</w:t>
      </w:r>
      <w:r w:rsidRPr="00F41258">
        <w:t>ichtlinie</w:t>
      </w:r>
      <w:r w:rsidRPr="00F41258">
        <w:t xml:space="preserve"> geförderten Einzelmaßnahmen ist nicht erforderlich. Der Kohärenz zur CO</w:t>
      </w:r>
      <w:r w:rsidRPr="00F41258">
        <w:rPr>
          <w:vertAlign w:val="subscript"/>
        </w:rPr>
        <w:t>2</w:t>
      </w:r>
      <w:r w:rsidRPr="00F41258">
        <w:t xml:space="preserve">-Bepreisung, dem effizienten Mitteleinsatz im Hinblick auf die erzielten </w:t>
      </w:r>
      <w:r w:rsidR="008F5480" w:rsidRPr="00F41258">
        <w:t>THG</w:t>
      </w:r>
      <w:r w:rsidRPr="00F41258">
        <w:t>-Einsparungen wird bei der Förderung Rechnung getragen.</w:t>
      </w:r>
    </w:p>
    <w:p w14:paraId="7EEBB789" w14:textId="6638D361" w:rsidR="00D860A7" w:rsidRPr="00F41258" w:rsidRDefault="00D860A7" w:rsidP="00583FF0">
      <w:r w:rsidRPr="00F41258">
        <w:t xml:space="preserve">Bürger sollen beim Umstieg auf das Heizen mit Erneuerbaren Energien nicht überfordert werden, daher </w:t>
      </w:r>
      <w:r w:rsidR="00D0702A" w:rsidRPr="00F41258">
        <w:t>können</w:t>
      </w:r>
      <w:r w:rsidRPr="00F41258">
        <w:t xml:space="preserve"> selbstnutzende </w:t>
      </w:r>
      <w:r w:rsidR="00662580" w:rsidRPr="00F41258">
        <w:t>E</w:t>
      </w:r>
      <w:r w:rsidRPr="00F41258">
        <w:t xml:space="preserve">igentümer einen </w:t>
      </w:r>
      <w:r w:rsidR="009C1521" w:rsidRPr="00F41258">
        <w:t>Klima-</w:t>
      </w:r>
      <w:r w:rsidRPr="00F41258">
        <w:t>Bonus</w:t>
      </w:r>
      <w:r w:rsidR="00A77D0C" w:rsidRPr="00F41258">
        <w:t xml:space="preserve"> und einkommensschwache selbstnutzende Eigentümer zu</w:t>
      </w:r>
      <w:r w:rsidR="00D0702A" w:rsidRPr="00F41258">
        <w:t xml:space="preserve">sätzlich </w:t>
      </w:r>
      <w:r w:rsidR="00A77D0C" w:rsidRPr="00F41258">
        <w:t>einen E</w:t>
      </w:r>
      <w:r w:rsidR="00C83A98" w:rsidRPr="00F41258">
        <w:t>inkommens</w:t>
      </w:r>
      <w:r w:rsidR="00A77D0C" w:rsidRPr="00F41258">
        <w:t>-</w:t>
      </w:r>
      <w:r w:rsidR="00C83A98" w:rsidRPr="00F41258">
        <w:t>Bonus</w:t>
      </w:r>
      <w:r w:rsidR="00D0702A" w:rsidRPr="00F41258">
        <w:t xml:space="preserve"> erhalten, wenn sie die zugehörigen Anforderungen in dieser </w:t>
      </w:r>
      <w:r w:rsidR="00103EB3" w:rsidRPr="00F41258">
        <w:t>Förderr</w:t>
      </w:r>
      <w:r w:rsidR="00D0702A" w:rsidRPr="00F41258">
        <w:t>ichtlinie erfüllen</w:t>
      </w:r>
      <w:r w:rsidR="009C1521" w:rsidRPr="00F41258">
        <w:t>,</w:t>
      </w:r>
      <w:r w:rsidR="001B6D57" w:rsidRPr="00F41258">
        <w:t xml:space="preserve"> um den Umstieg auf klimafreundliche Heizungen und Investitionen </w:t>
      </w:r>
      <w:r w:rsidR="002D685A" w:rsidRPr="00F41258">
        <w:t>zur Energieeffizienzsteigerung</w:t>
      </w:r>
      <w:r w:rsidR="001B6D57" w:rsidRPr="00F41258">
        <w:t xml:space="preserve"> von Gebäuden zu beschleunigen. Damit werden die einzelnen Bedürfnislagen und sozialen Härten bis in die Mitte der Gesellschaft besser berücksichtigt. Zugleich setzt die neu ausgerichtete Förderung Anreize, um eine möglichst frühzeitige Erneuerung und Umrüstung von Heizungen und damit einen zusätzlichen positiven Klimaeffekt zu erreichen.</w:t>
      </w:r>
    </w:p>
    <w:p w14:paraId="30D3F8EB" w14:textId="5C1D13AE" w:rsidR="00232CB1" w:rsidRPr="00F41258" w:rsidRDefault="00B65B35" w:rsidP="00583FF0">
      <w:bookmarkStart w:id="26" w:name="_Hlk118710709"/>
      <w:bookmarkStart w:id="27" w:name="_Hlk143860336"/>
      <w:r w:rsidRPr="00F41258">
        <w:t xml:space="preserve">Die </w:t>
      </w:r>
      <w:r w:rsidRPr="00F41258">
        <w:rPr>
          <w:rFonts w:eastAsia="Times New Roman"/>
          <w:color w:val="000000"/>
        </w:rPr>
        <w:t>BEG</w:t>
      </w:r>
      <w:r w:rsidRPr="00F41258">
        <w:t xml:space="preserve"> trägt dazu bei, die Treibhausgasemissionen im Gebäudesektor </w:t>
      </w:r>
      <w:r w:rsidR="00706F29" w:rsidRPr="00F41258">
        <w:t xml:space="preserve">auf die </w:t>
      </w:r>
      <w:r w:rsidR="0010707C" w:rsidRPr="00F41258">
        <w:t xml:space="preserve">zulässige Jahresemissionsmenge von </w:t>
      </w:r>
      <w:r w:rsidR="00566282" w:rsidRPr="00F41258">
        <w:t xml:space="preserve">rund </w:t>
      </w:r>
      <w:r w:rsidRPr="00F41258">
        <w:t>6</w:t>
      </w:r>
      <w:r w:rsidR="00566282" w:rsidRPr="00F41258">
        <w:t>6</w:t>
      </w:r>
      <w:r w:rsidRPr="00F41258">
        <w:t xml:space="preserve"> </w:t>
      </w:r>
      <w:proofErr w:type="spellStart"/>
      <w:r w:rsidR="00647F54" w:rsidRPr="00F41258">
        <w:t>Mt</w:t>
      </w:r>
      <w:proofErr w:type="spellEnd"/>
      <w:r w:rsidR="00647F54" w:rsidRPr="00F41258">
        <w:t xml:space="preserve"> CO</w:t>
      </w:r>
      <w:r w:rsidR="00647F54" w:rsidRPr="00F41258">
        <w:rPr>
          <w:vertAlign w:val="subscript"/>
        </w:rPr>
        <w:t>2</w:t>
      </w:r>
      <w:r w:rsidR="00647F54" w:rsidRPr="00F41258">
        <w:t xml:space="preserve">-Äq. </w:t>
      </w:r>
      <w:r w:rsidR="00363DDA" w:rsidRPr="00F41258">
        <w:t xml:space="preserve">(angepasst gemäß § 4 Absatz 3 KSG) </w:t>
      </w:r>
      <w:r w:rsidR="009E05B4" w:rsidRPr="00F41258">
        <w:t>im Jahr</w:t>
      </w:r>
      <w:r w:rsidRPr="00F41258">
        <w:t xml:space="preserve"> 2030 zu mindern und somit sowohl die nationalen als auch die europäischen Energie- und Klimaziele bis 2030 zu erreichen. </w:t>
      </w:r>
      <w:r w:rsidR="00105AA0" w:rsidRPr="00F41258">
        <w:t>Auf Grundlage der Ausgestaltung und Mittelverfügbarkeit soll</w:t>
      </w:r>
      <w:r w:rsidRPr="00F41258">
        <w:t xml:space="preserve"> die BEG </w:t>
      </w:r>
      <w:r w:rsidR="00105AA0" w:rsidRPr="00F41258">
        <w:t xml:space="preserve">ab 2024 </w:t>
      </w:r>
      <w:r w:rsidR="0010707C" w:rsidRPr="00F41258">
        <w:t>rund 3</w:t>
      </w:r>
      <w:r w:rsidR="00600C78" w:rsidRPr="00F41258">
        <w:t>,2</w:t>
      </w:r>
      <w:r w:rsidR="009E05B4" w:rsidRPr="00F41258">
        <w:t> </w:t>
      </w:r>
      <w:bookmarkStart w:id="28" w:name="_Hlk121226751"/>
      <w:proofErr w:type="spellStart"/>
      <w:r w:rsidR="00AD3D17" w:rsidRPr="00F41258">
        <w:t>Mt</w:t>
      </w:r>
      <w:proofErr w:type="spellEnd"/>
      <w:r w:rsidR="009E05B4" w:rsidRPr="00F41258">
        <w:t> </w:t>
      </w:r>
      <w:r w:rsidR="0010707C" w:rsidRPr="00F41258">
        <w:t>CO</w:t>
      </w:r>
      <w:r w:rsidR="0010707C" w:rsidRPr="00F41258">
        <w:rPr>
          <w:vertAlign w:val="subscript"/>
        </w:rPr>
        <w:t>2</w:t>
      </w:r>
      <w:r w:rsidR="0010707C" w:rsidRPr="00F41258">
        <w:t>-Äquivalente</w:t>
      </w:r>
      <w:r w:rsidR="00600C78" w:rsidRPr="00F41258">
        <w:t xml:space="preserve"> brutto</w:t>
      </w:r>
      <w:r w:rsidR="0010707C" w:rsidRPr="00F41258">
        <w:t xml:space="preserve"> pro Jahr ein</w:t>
      </w:r>
      <w:r w:rsidR="00105AA0" w:rsidRPr="00F41258">
        <w:t>sparen</w:t>
      </w:r>
      <w:r w:rsidR="0010707C" w:rsidRPr="00F41258">
        <w:t>.</w:t>
      </w:r>
      <w:bookmarkStart w:id="29" w:name="_Hlk118719737"/>
      <w:bookmarkEnd w:id="28"/>
      <w:bookmarkEnd w:id="26"/>
      <w:r w:rsidR="00232CB1" w:rsidRPr="00F41258">
        <w:t xml:space="preserve"> </w:t>
      </w:r>
      <w:bookmarkEnd w:id="27"/>
      <w:bookmarkEnd w:id="29"/>
    </w:p>
    <w:p w14:paraId="4F012AA2" w14:textId="531BDB4E" w:rsidR="00232CB1" w:rsidRPr="00F41258" w:rsidRDefault="00232CB1" w:rsidP="00583FF0">
      <w:pPr>
        <w:pStyle w:val="berschrift1"/>
      </w:pPr>
      <w:bookmarkStart w:id="30" w:name="_Gegenstand_der_Förderung"/>
      <w:bookmarkStart w:id="31" w:name="_Toc112915681"/>
      <w:bookmarkStart w:id="32" w:name="_Toc144907996"/>
      <w:bookmarkEnd w:id="30"/>
      <w:r w:rsidRPr="00F41258">
        <w:t>Gegenstand der Förderung</w:t>
      </w:r>
      <w:bookmarkEnd w:id="31"/>
      <w:bookmarkEnd w:id="32"/>
    </w:p>
    <w:p w14:paraId="7ACD6BD4" w14:textId="31311F50" w:rsidR="00232CB1" w:rsidRPr="00F41258" w:rsidRDefault="00232CB1" w:rsidP="00583FF0">
      <w:r w:rsidRPr="00F41258">
        <w:t xml:space="preserve">Gefördert werden Einzelmaßnahmen an Bestandsgebäuden, die den in der Anlage zu dieser </w:t>
      </w:r>
      <w:r w:rsidR="00103EB3" w:rsidRPr="00F41258">
        <w:t>Förderr</w:t>
      </w:r>
      <w:r w:rsidRPr="00F41258">
        <w:t>ichtlinie</w:t>
      </w:r>
      <w:r w:rsidRPr="00F41258">
        <w:t xml:space="preserve"> niedergelegten technischen Mindestanforderungen entsprechen sowie zu einer Verbesserung des energetischen Niveaus des Gebäudes führen und damit zur Minderung von </w:t>
      </w:r>
      <w:r w:rsidR="008F5480" w:rsidRPr="00F41258">
        <w:t>THG</w:t>
      </w:r>
      <w:r w:rsidRPr="00F41258">
        <w:t>-Emissionen, zur Erhöhung der Energieeffizienz und des Anteils erneuerbarer Wärme und Kälte im Gebäudesektor in Deutschland beitragen.</w:t>
      </w:r>
    </w:p>
    <w:p w14:paraId="35AEA232" w14:textId="2DDFE99D" w:rsidR="00232CB1" w:rsidRPr="00F41258" w:rsidRDefault="00232CB1" w:rsidP="00583FF0">
      <w:bookmarkStart w:id="33" w:name="_Hlk115279288"/>
      <w:r w:rsidRPr="00F41258">
        <w:t xml:space="preserve">Das förderfähige Mindestinvestitionsvolumen liegt für Einzelmaßnahmen nach </w:t>
      </w:r>
      <w:hyperlink w:anchor="_Einzelmaßnahmen_an_der" w:history="1">
        <w:r w:rsidRPr="00F41258">
          <w:rPr>
            <w:rStyle w:val="Hyperlink"/>
          </w:rPr>
          <w:t>Nummer 5.1</w:t>
        </w:r>
      </w:hyperlink>
      <w:r w:rsidRPr="00F41258">
        <w:t xml:space="preserve"> bis </w:t>
      </w:r>
      <w:hyperlink w:anchor="_Anlagen_zur_Wärmeerzeugung" w:history="1">
        <w:r w:rsidRPr="00F41258">
          <w:rPr>
            <w:rStyle w:val="Hyperlink"/>
          </w:rPr>
          <w:t>5.3</w:t>
        </w:r>
      </w:hyperlink>
      <w:r w:rsidRPr="00F41258">
        <w:t xml:space="preserve"> bei jeweils 2 000 Euro (brutto) und nach </w:t>
      </w:r>
      <w:hyperlink w:anchor="_Heizungsoptimierung" w:history="1">
        <w:r w:rsidRPr="00F41258">
          <w:rPr>
            <w:rStyle w:val="Hyperlink"/>
          </w:rPr>
          <w:t>Nummer 5.4</w:t>
        </w:r>
      </w:hyperlink>
      <w:r w:rsidRPr="00F41258">
        <w:t xml:space="preserve"> (Heizungsoptimierung) bei 300 Euro (brutto).</w:t>
      </w:r>
    </w:p>
    <w:bookmarkEnd w:id="33"/>
    <w:p w14:paraId="07912D83" w14:textId="77777777" w:rsidR="00232CB1" w:rsidRPr="00F41258" w:rsidRDefault="00232CB1" w:rsidP="00583FF0">
      <w:r w:rsidRPr="00F41258">
        <w:t>Erweiterung durch Anbau, Ausbau von Wohngebäuden, Umwidmung von Nichtwohngebäuden zu Wohngebäuden:</w:t>
      </w:r>
    </w:p>
    <w:p w14:paraId="678BA9CB" w14:textId="77777777" w:rsidR="00232CB1" w:rsidRPr="00F41258" w:rsidRDefault="00232CB1" w:rsidP="009B6F99">
      <w:pPr>
        <w:pStyle w:val="Listenabsatz"/>
        <w:numPr>
          <w:ilvl w:val="0"/>
          <w:numId w:val="12"/>
        </w:numPr>
      </w:pPr>
      <w:r w:rsidRPr="00F41258">
        <w:t xml:space="preserve">Einzelmaßnahmen im Rahmen einer Erweiterung bestehender Wohngebäude (z. B. durch Anbau oder Dachgeschossaufstockung), im Rahmen des Ausbaus von vormals nicht beheizten Räumen (z. B. Dachgeschossausbau), oder im Rahmen einer Umwidmung von beheizten Nichtwohnflächen zu Wohnflächen sind förderfähig. </w:t>
      </w:r>
    </w:p>
    <w:p w14:paraId="73FDBB37" w14:textId="448B1209" w:rsidR="00232CB1" w:rsidRPr="00F41258" w:rsidRDefault="00232CB1" w:rsidP="009B6F99">
      <w:pPr>
        <w:pStyle w:val="Listenabsatz"/>
        <w:numPr>
          <w:ilvl w:val="0"/>
          <w:numId w:val="12"/>
        </w:numPr>
      </w:pPr>
      <w:r w:rsidRPr="00F41258">
        <w:t>Ausnahme: Entstehen bei der Sanierung neue Wohneinheiten ausschließlich in der Erweiterung (ohne Einbeziehen von zuvor beheizter Fläche), werden diese neuen Wohneinheiten als Neubau</w:t>
      </w:r>
      <w:r w:rsidR="002056E7" w:rsidRPr="00F41258">
        <w:t>ten eingestuft</w:t>
      </w:r>
      <w:r w:rsidRPr="00F41258">
        <w:t xml:space="preserve">, d. h. die neuen Wohneinheiten dürfen bei der Förderung von Einzelmaßnahmen nicht als Bemessungsgrundlage für die Höchstgrenze förderfähiger Kosten herangezogen werden. Wird für die neuen Wohneinheiten eine Förderung in Anspruch genommen, sind die energetischen Maßnahmen der Erweiterung oder des Ausbaus nicht gleichzeitig als </w:t>
      </w:r>
      <w:r w:rsidRPr="00F41258">
        <w:lastRenderedPageBreak/>
        <w:t>Einzelmaßnahmen förderfähig. Entsprechendes gilt bei der Umwidmung vormals nicht beheizter Nichtwohnflächen zu Wohnflächen.</w:t>
      </w:r>
    </w:p>
    <w:p w14:paraId="68043174" w14:textId="2F7F3FA8" w:rsidR="00232CB1" w:rsidRPr="00F41258" w:rsidRDefault="00232CB1" w:rsidP="009B6F99">
      <w:pPr>
        <w:pStyle w:val="Listenabsatz"/>
        <w:numPr>
          <w:ilvl w:val="0"/>
          <w:numId w:val="12"/>
        </w:numPr>
      </w:pPr>
      <w:r w:rsidRPr="00F41258">
        <w:t>Bei unter Denkmalschutz stehenden Gebäuden sowie Gebäuden mit sonstiger besonders erhaltenswerter Bausubstanz im Sinne des §</w:t>
      </w:r>
      <w:r w:rsidR="00DE5632" w:rsidRPr="00F41258">
        <w:t xml:space="preserve"> </w:t>
      </w:r>
      <w:r w:rsidRPr="00F41258">
        <w:t>105 GEG sind Einzelmaßnahmen auch förderfähig, wenn durch die Erweiterung, den Ausbau oder die Umwidmung vormals nicht beheizter Räume Wohneinheiten neu entstehen, d.h. die neuen Wohneinheiten dürfen als Bemessungsgrundlage für die Höchstgrenze förderfähiger Kosten herangezogen werden. Nicht förderfähig sind Einzelmaßnahmen im Rahmen von Anbauten, die ein selbständiges neues Gebäude bilden oder durch die der Denkmalstatus des Gebäudes eingeschränkt oder aufgehoben wird.</w:t>
      </w:r>
    </w:p>
    <w:p w14:paraId="03EA0E61" w14:textId="77777777" w:rsidR="00232CB1" w:rsidRPr="00F41258" w:rsidRDefault="00232CB1" w:rsidP="00583FF0">
      <w:r w:rsidRPr="00F41258">
        <w:t>Erweiterung durch Anbau und Ausbau von Nichtwohngebäuden, Umwidmung von Wohngebäuden zu Nichtwohngebäuden:</w:t>
      </w:r>
    </w:p>
    <w:p w14:paraId="45364D8B" w14:textId="263FB22C" w:rsidR="00232CB1" w:rsidRPr="00F41258" w:rsidRDefault="00232CB1" w:rsidP="009B6F99">
      <w:pPr>
        <w:pStyle w:val="Listenabsatz"/>
        <w:numPr>
          <w:ilvl w:val="0"/>
          <w:numId w:val="13"/>
        </w:numPr>
      </w:pPr>
      <w:r w:rsidRPr="00F41258">
        <w:t xml:space="preserve">Einzelmaßnahmen im Rahmen einer Erweiterung bestehender Nichtwohngebäude (z. B. durch Anbau oder Dachgeschossaufstockung) sind nur dann förderfähig, wenn die dabei entstehende und zusammenhängende Nettogrundfläche 50 Quadratmeter nicht überschreitet. </w:t>
      </w:r>
    </w:p>
    <w:p w14:paraId="34F82391" w14:textId="7EC65800" w:rsidR="00FC6F95" w:rsidRPr="00F41258" w:rsidRDefault="00FC6F95" w:rsidP="009B6F99">
      <w:pPr>
        <w:pStyle w:val="Listenabsatz"/>
        <w:numPr>
          <w:ilvl w:val="0"/>
          <w:numId w:val="13"/>
        </w:numPr>
      </w:pPr>
      <w:r w:rsidRPr="00F41258">
        <w:t>Einzelmaßnahmen im Rahmen des Ausbaus von Räumen, die vormals nicht Teil des thermisch konditionierten Gebäudevolumens waren (z. B. durch einen Dachgeschossausbau) sind förderfähig.</w:t>
      </w:r>
    </w:p>
    <w:p w14:paraId="4F49B113" w14:textId="77777777" w:rsidR="00232CB1" w:rsidRPr="00F41258" w:rsidRDefault="00232CB1" w:rsidP="009B6F99">
      <w:pPr>
        <w:pStyle w:val="Listenabsatz"/>
        <w:numPr>
          <w:ilvl w:val="0"/>
          <w:numId w:val="13"/>
        </w:numPr>
      </w:pPr>
      <w:r w:rsidRPr="00F41258">
        <w:t>Bei unter Denkmalschutz stehenden Gebäuden sind Einzelmaßnahmen auch förderfähig, wenn durch die Erweiterung oder den Ausbau neu entstehende Nichtwohnfläche 50 Quadratmeter überschreitet. Nicht förderfähig sind Einzelmaßnahmen im Rahmen von Anbauten, die ein selbständiges neues Gebäude bilden oder durch die der Denkmalstatus des Gebäudes eingeschränkt oder aufgehoben wird.</w:t>
      </w:r>
    </w:p>
    <w:p w14:paraId="591B0F1A" w14:textId="77777777" w:rsidR="00232CB1" w:rsidRPr="00F41258" w:rsidRDefault="00232CB1" w:rsidP="009B6F99">
      <w:pPr>
        <w:pStyle w:val="Listenabsatz"/>
        <w:numPr>
          <w:ilvl w:val="0"/>
          <w:numId w:val="13"/>
        </w:numPr>
      </w:pPr>
      <w:r w:rsidRPr="00F41258">
        <w:t>Einzelmaßnahmen im Rahmen einer Umwidmung von beheizten Wohnflächen zu thermisch konditionierten Nichtwohnflächen sind förderfähig.</w:t>
      </w:r>
    </w:p>
    <w:p w14:paraId="7E1F332E" w14:textId="02120A00" w:rsidR="00232CB1" w:rsidRPr="00F41258" w:rsidRDefault="00232CB1" w:rsidP="00583FF0">
      <w:pPr>
        <w:pStyle w:val="berschrift2"/>
      </w:pPr>
      <w:bookmarkStart w:id="34" w:name="_Einzelmaßnahmen_an_der"/>
      <w:bookmarkStart w:id="35" w:name="_Toc112915682"/>
      <w:bookmarkStart w:id="36" w:name="_Toc144907997"/>
      <w:bookmarkEnd w:id="34"/>
      <w:r w:rsidRPr="00F41258">
        <w:t>Einzelmaßnahmen an der Gebäudehülle</w:t>
      </w:r>
      <w:bookmarkEnd w:id="35"/>
      <w:bookmarkEnd w:id="36"/>
    </w:p>
    <w:p w14:paraId="0DFB6AA5" w14:textId="1247D0A3" w:rsidR="00232CB1" w:rsidRPr="00F41258" w:rsidRDefault="00232CB1" w:rsidP="00583FF0">
      <w:r w:rsidRPr="00F41258">
        <w:t>Gefördert werden Einzelmaßnahmen an Bestandsgebäuden zur Erhöhung der Energieeffizienz des Gebäudes an der Gebäudehülle, darunter:</w:t>
      </w:r>
    </w:p>
    <w:p w14:paraId="0136E408" w14:textId="2C394FD3" w:rsidR="00232CB1" w:rsidRPr="00F41258" w:rsidRDefault="00232CB1" w:rsidP="00622573">
      <w:pPr>
        <w:pStyle w:val="berschrift4"/>
        <w:rPr>
          <w:b w:val="0"/>
        </w:rPr>
      </w:pPr>
      <w:r w:rsidRPr="00F41258">
        <w:rPr>
          <w:b w:val="0"/>
        </w:rPr>
        <w:t xml:space="preserve">Dämmung der Gebäudehülle (von Außenwänden, Dachflächen, Geschossdecken und Bodenflächen), sowie </w:t>
      </w:r>
      <w:r w:rsidRPr="00F41258">
        <w:rPr>
          <w:b w:val="0"/>
        </w:rPr>
        <w:t>Erneuerung</w:t>
      </w:r>
      <w:r w:rsidRPr="00F41258">
        <w:rPr>
          <w:b w:val="0"/>
        </w:rPr>
        <w:t>/Aufbereitung von Vorhangfassaden;</w:t>
      </w:r>
    </w:p>
    <w:p w14:paraId="31D6C134" w14:textId="77777777" w:rsidR="00232CB1" w:rsidRPr="00F41258" w:rsidRDefault="00232CB1" w:rsidP="00622573">
      <w:pPr>
        <w:pStyle w:val="berschrift4"/>
        <w:rPr>
          <w:b w:val="0"/>
        </w:rPr>
      </w:pPr>
      <w:r w:rsidRPr="00F41258">
        <w:rPr>
          <w:b w:val="0"/>
        </w:rPr>
        <w:t>Erneuerung, Ersatz oder erstmaliger Einbau von Fenstern, Außentüren und -toren;</w:t>
      </w:r>
    </w:p>
    <w:p w14:paraId="16BEA782" w14:textId="77777777" w:rsidR="00232CB1" w:rsidRPr="00F41258" w:rsidRDefault="00232CB1" w:rsidP="00622573">
      <w:pPr>
        <w:pStyle w:val="berschrift4"/>
        <w:rPr>
          <w:b w:val="0"/>
        </w:rPr>
      </w:pPr>
      <w:r w:rsidRPr="00F41258">
        <w:rPr>
          <w:b w:val="0"/>
        </w:rPr>
        <w:t>sommerlicher Wärmeschutz durch Ersatz oder erstmaligen Einbau von außenliegenden Sonnenschutzeinrichtungen mit optimierter Tageslichtversorgung.</w:t>
      </w:r>
    </w:p>
    <w:p w14:paraId="2B2CED5F" w14:textId="379249BD" w:rsidR="00232CB1" w:rsidRPr="00F41258" w:rsidRDefault="00232CB1" w:rsidP="00583FF0">
      <w:pPr>
        <w:pStyle w:val="berschrift2"/>
      </w:pPr>
      <w:bookmarkStart w:id="37" w:name="_Toc112915683"/>
      <w:bookmarkStart w:id="38" w:name="_Toc144907998"/>
      <w:r w:rsidRPr="00F41258">
        <w:t>Anlagentechnik (außer Heizung)</w:t>
      </w:r>
      <w:bookmarkEnd w:id="37"/>
      <w:bookmarkEnd w:id="38"/>
    </w:p>
    <w:p w14:paraId="759B2E1D" w14:textId="0C13A86C" w:rsidR="00232CB1" w:rsidRPr="00F41258" w:rsidRDefault="00232CB1" w:rsidP="00583FF0">
      <w:r w:rsidRPr="00F41258">
        <w:t>Gefördert wird der Einbau von Anlagentechnik in Bestandsgebäuden zur Erhöhung der Energieeffizienz des Gebäudes, darunter</w:t>
      </w:r>
      <w:r w:rsidR="00D85160" w:rsidRPr="00F41258">
        <w:t>:</w:t>
      </w:r>
    </w:p>
    <w:p w14:paraId="5D44F380" w14:textId="77777777" w:rsidR="00232CB1" w:rsidRPr="00F41258" w:rsidRDefault="00232CB1" w:rsidP="009B6F99">
      <w:pPr>
        <w:pStyle w:val="berschrift4"/>
        <w:numPr>
          <w:ilvl w:val="0"/>
          <w:numId w:val="44"/>
        </w:numPr>
        <w:rPr>
          <w:b w:val="0"/>
        </w:rPr>
      </w:pPr>
      <w:r w:rsidRPr="00F41258">
        <w:rPr>
          <w:b w:val="0"/>
        </w:rPr>
        <w:lastRenderedPageBreak/>
        <w:t>Einbau, Austausch oder Optimierung raumlufttechnischer Anlagen inklusive Wärme-/Kälterückgewinnung;</w:t>
      </w:r>
    </w:p>
    <w:p w14:paraId="393E5961" w14:textId="094B2C06" w:rsidR="00232CB1" w:rsidRPr="00F41258" w:rsidRDefault="00232CB1" w:rsidP="00622573">
      <w:pPr>
        <w:pStyle w:val="berschrift4"/>
        <w:rPr>
          <w:b w:val="0"/>
        </w:rPr>
      </w:pPr>
      <w:r w:rsidRPr="00F41258">
        <w:rPr>
          <w:b w:val="0"/>
        </w:rPr>
        <w:t xml:space="preserve">bei Wohngebäuden: Einbau digitaler Systeme zur energetischen Betriebs- und Verbrauchsoptimierung bzw. zur Verbesserung der Netzdienlichkeit der technischen Anlagen des Gebäudes („Efficiency Smart Home“) oder des angeschlossenen Gebäudenetzes im Sinne von </w:t>
      </w:r>
      <w:hyperlink w:anchor="_Anschluss_an_ein" w:history="1">
        <w:r w:rsidR="00D4601B" w:rsidRPr="00F41258">
          <w:rPr>
            <w:rStyle w:val="Hyperlink"/>
            <w:b w:val="0"/>
          </w:rPr>
          <w:t>Nummer 5.3 Buchstabe h</w:t>
        </w:r>
      </w:hyperlink>
      <w:r w:rsidRPr="00F41258">
        <w:rPr>
          <w:b w:val="0"/>
        </w:rPr>
        <w:t>;</w:t>
      </w:r>
    </w:p>
    <w:p w14:paraId="27F7BCF3" w14:textId="6930E22B" w:rsidR="00232CB1" w:rsidRPr="00F41258" w:rsidRDefault="00232CB1" w:rsidP="00622573">
      <w:pPr>
        <w:pStyle w:val="berschrift4"/>
        <w:rPr>
          <w:b w:val="0"/>
        </w:rPr>
      </w:pPr>
      <w:r w:rsidRPr="00F41258">
        <w:rPr>
          <w:b w:val="0"/>
        </w:rPr>
        <w:t>bei Nichtwohngebäuden: Einbau von Mess-, Steuer- und Regelungstechnik zur Realisierung eines Gebäudeautomatisierungsgrades mindestens der Klasse B nach DIN V 18599-11;</w:t>
      </w:r>
    </w:p>
    <w:p w14:paraId="66188087" w14:textId="77777777" w:rsidR="00232CB1" w:rsidRPr="00F41258" w:rsidRDefault="00232CB1" w:rsidP="00622573">
      <w:pPr>
        <w:pStyle w:val="berschrift4"/>
        <w:rPr>
          <w:b w:val="0"/>
        </w:rPr>
      </w:pPr>
      <w:r w:rsidRPr="00F41258">
        <w:rPr>
          <w:b w:val="0"/>
        </w:rPr>
        <w:t>bei Nichtwohngebäuden: Kältetechnik zur Raumkühlung;</w:t>
      </w:r>
    </w:p>
    <w:p w14:paraId="5507BB78" w14:textId="77777777" w:rsidR="00232CB1" w:rsidRPr="00F41258" w:rsidRDefault="00232CB1" w:rsidP="00622573">
      <w:pPr>
        <w:pStyle w:val="berschrift4"/>
        <w:rPr>
          <w:b w:val="0"/>
        </w:rPr>
      </w:pPr>
      <w:r w:rsidRPr="00F41258">
        <w:rPr>
          <w:b w:val="0"/>
        </w:rPr>
        <w:t xml:space="preserve">bei Nichtwohngebäuden: Einbau energieeffizienter Innenbeleuchtungssysteme. </w:t>
      </w:r>
    </w:p>
    <w:p w14:paraId="24AFD12C" w14:textId="77777777" w:rsidR="00232CB1" w:rsidRPr="00F41258" w:rsidRDefault="00232CB1" w:rsidP="00583FF0">
      <w:r w:rsidRPr="00F41258">
        <w:t>Nicht gefördert werden</w:t>
      </w:r>
    </w:p>
    <w:p w14:paraId="07F85204" w14:textId="77777777" w:rsidR="00232CB1" w:rsidRPr="00F41258" w:rsidRDefault="00232CB1" w:rsidP="009B6F99">
      <w:pPr>
        <w:pStyle w:val="Listenabsatz"/>
        <w:numPr>
          <w:ilvl w:val="0"/>
          <w:numId w:val="13"/>
        </w:numPr>
      </w:pPr>
      <w:r w:rsidRPr="00F41258">
        <w:t>Eigenbauanlagen und Anlagen, die in weniger als vier Exemplaren betrieben werden oder betrieben worden sind (Prototypen);</w:t>
      </w:r>
    </w:p>
    <w:p w14:paraId="5C6F0C70" w14:textId="77777777" w:rsidR="00232CB1" w:rsidRPr="00F41258" w:rsidRDefault="00232CB1" w:rsidP="009B6F99">
      <w:pPr>
        <w:pStyle w:val="Listenabsatz"/>
        <w:numPr>
          <w:ilvl w:val="0"/>
          <w:numId w:val="13"/>
        </w:numPr>
      </w:pPr>
      <w:r w:rsidRPr="00F41258">
        <w:t xml:space="preserve">gebrauchte Anlagen und Anlagen mit wesentlich gebraucht erworbenen Anlagenteilen. </w:t>
      </w:r>
    </w:p>
    <w:p w14:paraId="2B3D0C3D" w14:textId="49A62805" w:rsidR="00232CB1" w:rsidRPr="00F41258" w:rsidRDefault="00232CB1" w:rsidP="00583FF0">
      <w:pPr>
        <w:pStyle w:val="berschrift2"/>
      </w:pPr>
      <w:bookmarkStart w:id="39" w:name="_Anlagen_zur_Wärmeerzeugung"/>
      <w:bookmarkStart w:id="40" w:name="_Toc112915684"/>
      <w:bookmarkStart w:id="41" w:name="_Toc144907999"/>
      <w:bookmarkEnd w:id="39"/>
      <w:r w:rsidRPr="00F41258">
        <w:t>Anlagen zur Wärmeerzeugung (Heizungstechnik)</w:t>
      </w:r>
      <w:bookmarkEnd w:id="40"/>
      <w:bookmarkEnd w:id="41"/>
    </w:p>
    <w:p w14:paraId="62ED8A64" w14:textId="13616889" w:rsidR="00BE6058" w:rsidRPr="00F41258" w:rsidRDefault="00232CB1" w:rsidP="00583FF0">
      <w:r w:rsidRPr="00F41258">
        <w:t>Gefördert werden der Einbau von effizienten Wärmeerzeugern und von Anlagen zur Heizungsunterstützung; außerdem der Anschluss an ein Gebäude- oder Wärmenetz. Voraussetzung</w:t>
      </w:r>
      <w:r w:rsidR="0090724A" w:rsidRPr="00F41258">
        <w:t>en</w:t>
      </w:r>
      <w:r w:rsidRPr="00F41258">
        <w:t xml:space="preserve"> </w:t>
      </w:r>
      <w:r w:rsidR="00BE6058" w:rsidRPr="00F41258">
        <w:t>sind</w:t>
      </w:r>
      <w:r w:rsidR="001D5E3A" w:rsidRPr="00F41258">
        <w:t>,</w:t>
      </w:r>
      <w:r w:rsidR="00BE6058" w:rsidRPr="00F41258">
        <w:t xml:space="preserve"> </w:t>
      </w:r>
    </w:p>
    <w:p w14:paraId="3BDCC95E" w14:textId="1F864A0B" w:rsidR="00BE6058" w:rsidRPr="00F41258" w:rsidRDefault="00232CB1" w:rsidP="009B6F99">
      <w:pPr>
        <w:pStyle w:val="Listenabsatz"/>
        <w:numPr>
          <w:ilvl w:val="0"/>
          <w:numId w:val="36"/>
        </w:numPr>
      </w:pPr>
      <w:r w:rsidRPr="00F41258">
        <w:t>dass es sich bei dem betreffenden Gebäude um ein Bestandsgebäude handelt</w:t>
      </w:r>
      <w:r w:rsidR="00BE6058" w:rsidRPr="00F41258">
        <w:t>,</w:t>
      </w:r>
      <w:r w:rsidRPr="00F41258">
        <w:t xml:space="preserve"> </w:t>
      </w:r>
    </w:p>
    <w:p w14:paraId="3B907E0E" w14:textId="77777777" w:rsidR="00BE6058" w:rsidRPr="00F41258" w:rsidRDefault="00BE6058" w:rsidP="009B6F99">
      <w:pPr>
        <w:pStyle w:val="Listenabsatz"/>
        <w:numPr>
          <w:ilvl w:val="0"/>
          <w:numId w:val="36"/>
        </w:numPr>
      </w:pPr>
      <w:r w:rsidRPr="00F41258">
        <w:t xml:space="preserve">dass </w:t>
      </w:r>
      <w:r w:rsidR="00232CB1" w:rsidRPr="00F41258">
        <w:t>mit der Maßnahme die Energieeffizienz des Gebäudes und/oder der Anteil erneuerbarer Energien am Endenergieverbrauch des Gebäudes erhöht</w:t>
      </w:r>
      <w:r w:rsidRPr="00F41258">
        <w:t xml:space="preserve"> wird,</w:t>
      </w:r>
      <w:r w:rsidR="00232CB1" w:rsidRPr="00F41258">
        <w:t xml:space="preserve"> </w:t>
      </w:r>
    </w:p>
    <w:p w14:paraId="600B5B0C" w14:textId="61B3D8B0" w:rsidR="00232CB1" w:rsidRPr="00F41258" w:rsidRDefault="00232CB1" w:rsidP="009B6F99">
      <w:pPr>
        <w:pStyle w:val="Listenabsatz"/>
        <w:numPr>
          <w:ilvl w:val="0"/>
          <w:numId w:val="36"/>
        </w:numPr>
      </w:pPr>
      <w:r w:rsidRPr="00F41258">
        <w:t>und</w:t>
      </w:r>
      <w:r w:rsidR="00BE6058" w:rsidRPr="00F41258">
        <w:t xml:space="preserve"> dass</w:t>
      </w:r>
      <w:r w:rsidRPr="00F41258">
        <w:t xml:space="preserve"> der Einbau mit einer Optimierung des gesamten Heizungsverteilsystems (inklusive Durchführung des hydraulischen Abgleichs</w:t>
      </w:r>
      <w:r w:rsidR="00BE6058" w:rsidRPr="00F41258">
        <w:t xml:space="preserve"> bzw. Anpassung der Luftvolumenströme</w:t>
      </w:r>
      <w:r w:rsidRPr="00F41258">
        <w:t>) verbunden wird.</w:t>
      </w:r>
    </w:p>
    <w:p w14:paraId="2EB0C1DD" w14:textId="77777777" w:rsidR="00232CB1" w:rsidRPr="00F41258" w:rsidRDefault="00232CB1" w:rsidP="00583FF0">
      <w:r w:rsidRPr="00F41258">
        <w:t>Nicht gefördert werden</w:t>
      </w:r>
    </w:p>
    <w:p w14:paraId="4E0A0158" w14:textId="77777777" w:rsidR="00232CB1" w:rsidRPr="00F41258" w:rsidRDefault="00232CB1" w:rsidP="009B6F99">
      <w:pPr>
        <w:pStyle w:val="Listenabsatz"/>
        <w:numPr>
          <w:ilvl w:val="0"/>
          <w:numId w:val="13"/>
        </w:numPr>
      </w:pPr>
      <w:r w:rsidRPr="00F41258">
        <w:t>Eigenbauanlagen und Anlagen, die in weniger als vier Exemplaren betrieben werden oder betrieben worden sind (Prototypen);</w:t>
      </w:r>
    </w:p>
    <w:p w14:paraId="379A8FDD" w14:textId="7DD33F37" w:rsidR="00232CB1" w:rsidRPr="00F41258" w:rsidRDefault="00232CB1" w:rsidP="009B6F99">
      <w:pPr>
        <w:pStyle w:val="Listenabsatz"/>
        <w:numPr>
          <w:ilvl w:val="0"/>
          <w:numId w:val="13"/>
        </w:numPr>
      </w:pPr>
      <w:r w:rsidRPr="00F41258">
        <w:t>gebrauchte Anlagen und Anlagen mit wesentlich gebraucht erworbenen Anlagenteilen;</w:t>
      </w:r>
    </w:p>
    <w:p w14:paraId="7109EB57" w14:textId="5CA2CB18" w:rsidR="00A91CC3" w:rsidRPr="00F41258" w:rsidRDefault="00A91CC3" w:rsidP="00AE72A8">
      <w:bookmarkStart w:id="42" w:name="_Hlk112657132"/>
      <w:r w:rsidRPr="00F41258">
        <w:t xml:space="preserve">Förderfähige </w:t>
      </w:r>
      <w:r w:rsidR="00382219" w:rsidRPr="00F41258">
        <w:t xml:space="preserve">Techniken </w:t>
      </w:r>
      <w:r w:rsidRPr="00F41258">
        <w:t>sind:</w:t>
      </w:r>
    </w:p>
    <w:p w14:paraId="7F872D44" w14:textId="2DB80F9F" w:rsidR="00232CB1" w:rsidRPr="00F41258" w:rsidRDefault="00971CA1" w:rsidP="009B6F99">
      <w:pPr>
        <w:pStyle w:val="berschrift4"/>
        <w:numPr>
          <w:ilvl w:val="0"/>
          <w:numId w:val="45"/>
        </w:numPr>
      </w:pPr>
      <w:bookmarkStart w:id="43" w:name="_Solarthermische_ASolarkollektoranla"/>
      <w:bookmarkEnd w:id="43"/>
      <w:r w:rsidRPr="00F41258">
        <w:t>Solarthermische A</w:t>
      </w:r>
      <w:r w:rsidR="00232CB1" w:rsidRPr="00F41258">
        <w:t>nlagen</w:t>
      </w:r>
    </w:p>
    <w:p w14:paraId="433AE312" w14:textId="22FEA330" w:rsidR="00232CB1" w:rsidRPr="00F41258" w:rsidRDefault="00232CB1" w:rsidP="00AA1EB4">
      <w:r w:rsidRPr="00F41258">
        <w:t>Gefördert wird die Errichtung oder Erweiterung von</w:t>
      </w:r>
      <w:r w:rsidR="00D13C10" w:rsidRPr="00F41258">
        <w:t xml:space="preserve"> Heizungsanlagen</w:t>
      </w:r>
      <w:r w:rsidRPr="00F41258">
        <w:t xml:space="preserve"> </w:t>
      </w:r>
      <w:r w:rsidR="00D13C10" w:rsidRPr="00F41258">
        <w:t xml:space="preserve">mit </w:t>
      </w:r>
      <w:r w:rsidRPr="00F41258">
        <w:t xml:space="preserve">Solarkollektoranlagen zur thermischen Nutzung </w:t>
      </w:r>
      <w:r w:rsidR="00971CA1" w:rsidRPr="00F41258">
        <w:t>(solarthermische Anlangen)</w:t>
      </w:r>
      <w:r w:rsidR="002F28AC" w:rsidRPr="00F41258">
        <w:t>.</w:t>
      </w:r>
      <w:r w:rsidRPr="00F41258">
        <w:t xml:space="preserve"> </w:t>
      </w:r>
    </w:p>
    <w:p w14:paraId="4525FB49" w14:textId="093C028F" w:rsidR="00232CB1" w:rsidRPr="00F41258" w:rsidRDefault="00232CB1" w:rsidP="00583FF0">
      <w:r w:rsidRPr="00F41258">
        <w:t xml:space="preserve">Nicht förderfähig sind </w:t>
      </w:r>
      <w:r w:rsidR="00971CA1" w:rsidRPr="00F41258">
        <w:t>solarthermische A</w:t>
      </w:r>
      <w:r w:rsidRPr="00F41258">
        <w:t>nlagen</w:t>
      </w:r>
      <w:r w:rsidRPr="00F41258">
        <w:t xml:space="preserve"> ohne transparente Abdeckung auf der Frontseite (z. B. Schwimmbadabsorber).</w:t>
      </w:r>
    </w:p>
    <w:p w14:paraId="15D624D8" w14:textId="77777777" w:rsidR="00232CB1" w:rsidRPr="00F41258" w:rsidRDefault="00232CB1" w:rsidP="00622573">
      <w:pPr>
        <w:pStyle w:val="berschrift4"/>
      </w:pPr>
      <w:r w:rsidRPr="00F41258">
        <w:t>Biomasseheizungen</w:t>
      </w:r>
    </w:p>
    <w:p w14:paraId="3F073BA5" w14:textId="203ABC24" w:rsidR="00210A39" w:rsidRPr="00F41258" w:rsidRDefault="00232CB1" w:rsidP="00D07EB6">
      <w:r w:rsidRPr="00F41258">
        <w:t xml:space="preserve">Gefördert wird die Errichtung oder Erweiterung von </w:t>
      </w:r>
      <w:r w:rsidR="009E0C82" w:rsidRPr="00F41258">
        <w:t xml:space="preserve">Heizungsanlagen mit </w:t>
      </w:r>
      <w:r w:rsidRPr="00F41258">
        <w:t>Biomasseanlagen für die thermische Nutzung ab mindestens 5 kW Nennwärmeleistung</w:t>
      </w:r>
      <w:r w:rsidR="003F7B4C" w:rsidRPr="00F41258">
        <w:t>.</w:t>
      </w:r>
      <w:r w:rsidRPr="00F41258">
        <w:t xml:space="preserve"> </w:t>
      </w:r>
    </w:p>
    <w:p w14:paraId="560D7143" w14:textId="77777777" w:rsidR="00232CB1" w:rsidRPr="00F41258" w:rsidRDefault="00382219" w:rsidP="00622573">
      <w:pPr>
        <w:pStyle w:val="berschrift4"/>
      </w:pPr>
      <w:bookmarkStart w:id="44" w:name="_Elektrisch_angetriebene_Wärmepumpen"/>
      <w:bookmarkStart w:id="45" w:name="_Hlk144971383"/>
      <w:bookmarkEnd w:id="44"/>
      <w:r w:rsidRPr="00F41258">
        <w:lastRenderedPageBreak/>
        <w:t xml:space="preserve">Elektrisch angetriebene </w:t>
      </w:r>
      <w:r w:rsidR="00232CB1" w:rsidRPr="00F41258">
        <w:t>Wärmepumpen</w:t>
      </w:r>
    </w:p>
    <w:p w14:paraId="273F9887" w14:textId="6C746E17" w:rsidR="00D13C10" w:rsidRPr="00F41258" w:rsidRDefault="009D6D52" w:rsidP="00583FF0">
      <w:r w:rsidRPr="00F41258">
        <w:t>Gefördert wird die Errichtung oder Erweiterung von Heizungsanlagen mit effizienten, elektrisch angetriebenen Wärmepumpen sowie bei bivalenten Kombigeräten die anteiligen Kosten der Wärmepumpen. Näheres regelt das „Infoblatt zu den förderfähigen Maßnahmen und Leistungen“.</w:t>
      </w:r>
      <w:r w:rsidRPr="00F41258">
        <w:t xml:space="preserve"> </w:t>
      </w:r>
    </w:p>
    <w:p w14:paraId="1EDC74DE" w14:textId="4E261B29" w:rsidR="00DA3C3D" w:rsidRPr="00F41258" w:rsidRDefault="00DA3C3D" w:rsidP="00622573">
      <w:pPr>
        <w:pStyle w:val="berschrift4"/>
      </w:pPr>
      <w:bookmarkStart w:id="46" w:name="_Brennstoffzellenheizung"/>
      <w:bookmarkEnd w:id="45"/>
      <w:bookmarkEnd w:id="46"/>
      <w:r w:rsidRPr="00F41258">
        <w:t>Brennstoffzellenheizung</w:t>
      </w:r>
    </w:p>
    <w:p w14:paraId="288C7A61" w14:textId="49B05959" w:rsidR="003B630A" w:rsidRPr="00F41258" w:rsidRDefault="003B630A" w:rsidP="00583FF0">
      <w:r w:rsidRPr="00F41258">
        <w:t xml:space="preserve">Gefördert wird </w:t>
      </w:r>
      <w:r w:rsidR="0014617F" w:rsidRPr="00F41258">
        <w:t>die Errichtung</w:t>
      </w:r>
      <w:r w:rsidRPr="00F41258">
        <w:t xml:space="preserve"> </w:t>
      </w:r>
      <w:r w:rsidR="009E0C82" w:rsidRPr="00F41258">
        <w:t xml:space="preserve">oder Erweiterung </w:t>
      </w:r>
      <w:r w:rsidRPr="00F41258">
        <w:t>von</w:t>
      </w:r>
      <w:r w:rsidR="009E0C82" w:rsidRPr="00F41258">
        <w:t xml:space="preserve"> Heizungsanlagen mit</w:t>
      </w:r>
      <w:r w:rsidRPr="00F41258">
        <w:t xml:space="preserve"> stationären Brennstoffzellensystemen</w:t>
      </w:r>
      <w:r w:rsidR="00ED4610" w:rsidRPr="00F41258">
        <w:t>.</w:t>
      </w:r>
    </w:p>
    <w:p w14:paraId="403FBBE9" w14:textId="5CA8653B" w:rsidR="00162AC9" w:rsidRPr="00F41258" w:rsidRDefault="00162AC9" w:rsidP="004B7B6D">
      <w:pPr>
        <w:pStyle w:val="berschrift4"/>
      </w:pPr>
      <w:r w:rsidRPr="00F41258">
        <w:t>Wasserstofffähige Heizungen</w:t>
      </w:r>
      <w:r w:rsidR="00AE72A8" w:rsidRPr="00F41258">
        <w:t xml:space="preserve"> </w:t>
      </w:r>
    </w:p>
    <w:p w14:paraId="447005A9" w14:textId="6EA57FBF" w:rsidR="00162AC9" w:rsidRPr="00F41258" w:rsidRDefault="00162AC9" w:rsidP="00AE72A8">
      <w:pPr>
        <w:rPr>
          <w:b/>
        </w:rPr>
      </w:pPr>
      <w:r w:rsidRPr="00F41258">
        <w:t xml:space="preserve">Gefördert werden </w:t>
      </w:r>
      <w:r w:rsidR="008575AF" w:rsidRPr="00F41258">
        <w:t xml:space="preserve">bei der Errichtung oder Erweiterung von </w:t>
      </w:r>
      <w:r w:rsidR="009E0C82" w:rsidRPr="00F41258">
        <w:t xml:space="preserve">Heizungsanlagen </w:t>
      </w:r>
      <w:r w:rsidR="00097FFE" w:rsidRPr="00F41258">
        <w:t>die Investitionsmehrkosten</w:t>
      </w:r>
      <w:r w:rsidR="009E0C82" w:rsidRPr="00F41258">
        <w:t xml:space="preserve"> von wasserstofffähigen </w:t>
      </w:r>
      <w:r w:rsidRPr="00F41258">
        <w:t>Gas-Brennwertheizungen</w:t>
      </w:r>
      <w:r w:rsidR="009E0C82" w:rsidRPr="00F41258">
        <w:t>.</w:t>
      </w:r>
    </w:p>
    <w:p w14:paraId="77525046" w14:textId="77777777" w:rsidR="00232CB1" w:rsidRPr="00F41258" w:rsidRDefault="00232CB1" w:rsidP="00622573">
      <w:pPr>
        <w:pStyle w:val="berschrift4"/>
      </w:pPr>
      <w:bookmarkStart w:id="47" w:name="_Innovative_Heizungstechnik_auf"/>
      <w:bookmarkEnd w:id="47"/>
      <w:r w:rsidRPr="00F41258">
        <w:t>Innovative Heizungstechnik auf Basis erneuerbarer Energien</w:t>
      </w:r>
    </w:p>
    <w:p w14:paraId="2BDE72F6" w14:textId="5C7B597A" w:rsidR="00232CB1" w:rsidRPr="00F41258" w:rsidRDefault="00232CB1" w:rsidP="00583FF0">
      <w:r w:rsidRPr="00F41258">
        <w:t xml:space="preserve">Gefördert wird die Errichtung </w:t>
      </w:r>
      <w:r w:rsidR="009E0C82" w:rsidRPr="00F41258">
        <w:t xml:space="preserve">oder Erweiterung </w:t>
      </w:r>
      <w:r w:rsidRPr="00F41258">
        <w:t xml:space="preserve">von </w:t>
      </w:r>
      <w:r w:rsidR="009E0C82" w:rsidRPr="00F41258">
        <w:t xml:space="preserve">Heizungsanlagen mit </w:t>
      </w:r>
      <w:r w:rsidRPr="00F41258">
        <w:t>innovativen effizienten Heizungsanlagen, die auf der Nutzung von erneuerbaren Energien basieren, insbesondere erneuerbare Energien für die Wärmeerzeugung mit einem Anteil von mindestens 80 % der Gebäudeheizlast einbinden</w:t>
      </w:r>
      <w:r w:rsidR="003F7B4C" w:rsidRPr="00F41258">
        <w:t>.</w:t>
      </w:r>
    </w:p>
    <w:p w14:paraId="7FFB0E17" w14:textId="23A37D7F" w:rsidR="00232CB1" w:rsidRPr="00F41258" w:rsidRDefault="00FF73BA" w:rsidP="00622573">
      <w:pPr>
        <w:pStyle w:val="berschrift4"/>
      </w:pPr>
      <w:bookmarkStart w:id="48" w:name="_Hlk77942111"/>
      <w:bookmarkStart w:id="49" w:name="_Hlk81468074"/>
      <w:r w:rsidRPr="00F41258">
        <w:t xml:space="preserve">Errichtung, Umbau und Erweiterung eines </w:t>
      </w:r>
      <w:r w:rsidR="00232CB1" w:rsidRPr="00F41258">
        <w:t xml:space="preserve">Gebäudenetz </w:t>
      </w:r>
    </w:p>
    <w:bookmarkEnd w:id="48"/>
    <w:p w14:paraId="5D58899B" w14:textId="43406C8A" w:rsidR="00232CB1" w:rsidRPr="00F41258" w:rsidRDefault="00232CB1" w:rsidP="00583FF0">
      <w:r w:rsidRPr="00F41258">
        <w:t>Gefördert wird die Errichtung, der Umbau oder die Erweiterung eines Gebäudenetzes</w:t>
      </w:r>
      <w:r w:rsidR="00EA31EA" w:rsidRPr="00F41258">
        <w:t xml:space="preserve"> </w:t>
      </w:r>
      <w:r w:rsidRPr="00F41258">
        <w:t>mit folgenden</w:t>
      </w:r>
      <w:r w:rsidR="003F10DA" w:rsidRPr="00F41258">
        <w:t xml:space="preserve"> förderfähigen</w:t>
      </w:r>
      <w:r w:rsidRPr="00F41258">
        <w:t xml:space="preserve"> Komponenten: Wärmeverteilung</w:t>
      </w:r>
      <w:r w:rsidR="009541F0" w:rsidRPr="00F41258">
        <w:t xml:space="preserve"> auch außerhalb der Grundstücke angeschlossener Gebäude</w:t>
      </w:r>
      <w:r w:rsidRPr="00F41258">
        <w:t xml:space="preserve">, Wärmeerzeugung nach </w:t>
      </w:r>
      <w:hyperlink w:anchor="_Solarthermische_ASolarkollektoranla" w:history="1">
        <w:r w:rsidRPr="00F41258">
          <w:rPr>
            <w:rStyle w:val="Hyperlink"/>
          </w:rPr>
          <w:t xml:space="preserve">Nummer 5.3 Buchstaben </w:t>
        </w:r>
        <w:r w:rsidR="008E351B" w:rsidRPr="00F41258">
          <w:rPr>
            <w:rStyle w:val="Hyperlink"/>
          </w:rPr>
          <w:t>a</w:t>
        </w:r>
      </w:hyperlink>
      <w:r w:rsidR="008E351B" w:rsidRPr="00F41258">
        <w:t xml:space="preserve"> </w:t>
      </w:r>
      <w:r w:rsidRPr="00F41258">
        <w:t xml:space="preserve">bis </w:t>
      </w:r>
      <w:hyperlink w:anchor="_Innovative_Heizungstechnik_auf" w:history="1">
        <w:r w:rsidR="00D4601B" w:rsidRPr="00F41258">
          <w:rPr>
            <w:rStyle w:val="Hyperlink"/>
          </w:rPr>
          <w:t>f</w:t>
        </w:r>
      </w:hyperlink>
      <w:r w:rsidR="009541F0" w:rsidRPr="00F41258">
        <w:t>,</w:t>
      </w:r>
      <w:r w:rsidRPr="00F41258">
        <w:t xml:space="preserve"> ggf. Wärmespeicherung, Steuer-, Mess- und Regelungstechnik, Wärmeübergabestationen. Förderfähig </w:t>
      </w:r>
      <w:r w:rsidR="003F10DA" w:rsidRPr="00F41258">
        <w:t>sind außerdem die</w:t>
      </w:r>
      <w:r w:rsidRPr="00F41258">
        <w:t xml:space="preserve"> Kosten der Installation, Inbetriebnahme und Umfeldmaßnahmen.</w:t>
      </w:r>
      <w:r w:rsidR="003F10DA" w:rsidRPr="00F41258">
        <w:t xml:space="preserve"> Mit Gas, Öl oder Kohle betriebene Wärmeerzeuger sind nicht förderfähig</w:t>
      </w:r>
      <w:r w:rsidR="0052145E" w:rsidRPr="00F41258">
        <w:t xml:space="preserve"> mit Ausnahme von </w:t>
      </w:r>
      <w:r w:rsidR="00AA1EB4" w:rsidRPr="00F41258">
        <w:t>Brennstoffzellenheizungen</w:t>
      </w:r>
      <w:r w:rsidR="0052145E" w:rsidRPr="00F41258">
        <w:t xml:space="preserve"> nach </w:t>
      </w:r>
      <w:hyperlink w:anchor="_Brennstoffzellenheizung" w:history="1">
        <w:r w:rsidR="0052145E" w:rsidRPr="00F41258">
          <w:rPr>
            <w:rStyle w:val="Hyperlink"/>
          </w:rPr>
          <w:t xml:space="preserve">Nummer </w:t>
        </w:r>
        <w:r w:rsidR="00A26198" w:rsidRPr="00F41258">
          <w:rPr>
            <w:rStyle w:val="Hyperlink"/>
          </w:rPr>
          <w:t>5.</w:t>
        </w:r>
        <w:r w:rsidR="0052145E" w:rsidRPr="00F41258">
          <w:rPr>
            <w:rStyle w:val="Hyperlink"/>
          </w:rPr>
          <w:t xml:space="preserve">3 Buchstabe </w:t>
        </w:r>
        <w:r w:rsidR="00AA1EB4" w:rsidRPr="00F41258">
          <w:rPr>
            <w:rStyle w:val="Hyperlink"/>
          </w:rPr>
          <w:t>d</w:t>
        </w:r>
      </w:hyperlink>
      <w:r w:rsidR="003F10DA" w:rsidRPr="00F41258">
        <w:t xml:space="preserve">. </w:t>
      </w:r>
    </w:p>
    <w:p w14:paraId="62634D3C" w14:textId="1380F8AA" w:rsidR="00FF73BA" w:rsidRPr="00F41258" w:rsidRDefault="00FF73BA" w:rsidP="00622573">
      <w:pPr>
        <w:pStyle w:val="berschrift4"/>
      </w:pPr>
      <w:bookmarkStart w:id="50" w:name="_Anschluss_an_ein"/>
      <w:bookmarkEnd w:id="50"/>
      <w:r w:rsidRPr="00F41258">
        <w:t>Anschluss an ein Gebäudenetz</w:t>
      </w:r>
    </w:p>
    <w:p w14:paraId="24BA0B42" w14:textId="2842F0E6" w:rsidR="00155AA6" w:rsidRPr="00F41258" w:rsidRDefault="00232CB1" w:rsidP="009D40EB">
      <w:r w:rsidRPr="00F41258">
        <w:t xml:space="preserve">Gefördert wird der Anschluss bzw. die Erneuerung eines Anschlusses an ein Gebäudenetz </w:t>
      </w:r>
      <w:r w:rsidR="00A1441B" w:rsidRPr="00F41258">
        <w:t xml:space="preserve">nur auf dem Grundstück des angeschlossenen Gebäudes, </w:t>
      </w:r>
      <w:r w:rsidR="009541F0" w:rsidRPr="00F41258">
        <w:t>mit folgenden förderfähigen Komponenten: Wärmeverteilung Steuer-, Mess- und Regelungstechnik, Wärmeübergabestationen</w:t>
      </w:r>
      <w:r w:rsidR="00D52030" w:rsidRPr="00F41258">
        <w:t xml:space="preserve"> und Umfeldmaßnahmen</w:t>
      </w:r>
      <w:r w:rsidRPr="00F41258">
        <w:t xml:space="preserve">. </w:t>
      </w:r>
    </w:p>
    <w:p w14:paraId="57704B78" w14:textId="2F9CD210" w:rsidR="00FF73BA" w:rsidRPr="00F41258" w:rsidRDefault="00FF73BA" w:rsidP="00622573">
      <w:pPr>
        <w:pStyle w:val="berschrift4"/>
      </w:pPr>
      <w:bookmarkStart w:id="51" w:name="_Anschluss_an_ein_1"/>
      <w:bookmarkEnd w:id="51"/>
      <w:r w:rsidRPr="00F41258">
        <w:t>Anschluss an ein Wärmenetz</w:t>
      </w:r>
    </w:p>
    <w:p w14:paraId="28A3E5E3" w14:textId="50F53508" w:rsidR="00232CB1" w:rsidRPr="00F41258" w:rsidRDefault="00155AA6" w:rsidP="009D40EB">
      <w:r w:rsidRPr="00F41258">
        <w:t>Gefördert wird der Anschluss an ein Wärmenetz</w:t>
      </w:r>
      <w:r w:rsidR="00D52030" w:rsidRPr="00F41258">
        <w:t xml:space="preserve"> mit folgenden förderfähigen Komponenten: Wärmeverteilung nur auf dem Grundstück des angeschlossenen Gebäudes, Steuer-, Mess- und Regelungstechnik, Wärmeübergabestationen und Umfeldmaßnahmen</w:t>
      </w:r>
      <w:r w:rsidRPr="00F41258">
        <w:t xml:space="preserve">. </w:t>
      </w:r>
    </w:p>
    <w:p w14:paraId="57B75CCE" w14:textId="77777777" w:rsidR="006C0178" w:rsidRPr="00F41258" w:rsidRDefault="006C0178" w:rsidP="00622573">
      <w:pPr>
        <w:pStyle w:val="berschrift4"/>
      </w:pPr>
      <w:bookmarkStart w:id="52" w:name="_Provisorische_Heiztechnik_bei"/>
      <w:bookmarkEnd w:id="52"/>
      <w:r w:rsidRPr="00F41258">
        <w:t>Provisorische Heiztechnik bei Heizungsdefekt</w:t>
      </w:r>
    </w:p>
    <w:p w14:paraId="51884494" w14:textId="1990B763" w:rsidR="006C0178" w:rsidRPr="00F41258" w:rsidRDefault="006C0178" w:rsidP="006C0178">
      <w:r w:rsidRPr="00F41258">
        <w:t>Gefördert werden</w:t>
      </w:r>
      <w:r w:rsidR="00D52030" w:rsidRPr="00F41258">
        <w:t xml:space="preserve"> im Zusammenhang mit einer geförderten </w:t>
      </w:r>
      <w:r w:rsidR="00601D17" w:rsidRPr="00F41258">
        <w:t>Anlage zur Wärmeerzeugung</w:t>
      </w:r>
      <w:r w:rsidR="00D52030" w:rsidRPr="00F41258">
        <w:t xml:space="preserve"> nach </w:t>
      </w:r>
      <w:hyperlink w:anchor="_Solarthermische_ASolarkollektoranla" w:history="1">
        <w:r w:rsidR="00D52030" w:rsidRPr="00F41258">
          <w:rPr>
            <w:rStyle w:val="Hyperlink"/>
          </w:rPr>
          <w:t>Nummer 5.3 Buchstaben a</w:t>
        </w:r>
      </w:hyperlink>
      <w:r w:rsidR="00D52030" w:rsidRPr="00F41258">
        <w:t xml:space="preserve"> bis </w:t>
      </w:r>
      <w:hyperlink w:anchor="_Anschluss_an_ein_1" w:history="1">
        <w:proofErr w:type="spellStart"/>
        <w:r w:rsidR="00D4601B" w:rsidRPr="00F41258">
          <w:rPr>
            <w:rStyle w:val="Hyperlink"/>
          </w:rPr>
          <w:t>i</w:t>
        </w:r>
        <w:proofErr w:type="spellEnd"/>
      </w:hyperlink>
      <w:r w:rsidRPr="00F41258">
        <w:t xml:space="preserve"> die Mietkosten für eine provisorische Heiztechnik </w:t>
      </w:r>
      <w:r w:rsidR="00601D17" w:rsidRPr="00F41258">
        <w:t>nach</w:t>
      </w:r>
      <w:r w:rsidRPr="00F41258">
        <w:t xml:space="preserve"> einem Heizungsdefekt. Die Mietkosten werden ab Antragstellung</w:t>
      </w:r>
      <w:r w:rsidR="00D52030" w:rsidRPr="00F41258">
        <w:t xml:space="preserve"> höchstens für eine Mietdauer von einem</w:t>
      </w:r>
      <w:r w:rsidR="00601D17" w:rsidRPr="00F41258">
        <w:t xml:space="preserve"> Jahr</w:t>
      </w:r>
      <w:r w:rsidR="00D52030" w:rsidRPr="00F41258">
        <w:t xml:space="preserve"> </w:t>
      </w:r>
      <w:r w:rsidRPr="00F41258">
        <w:t>gefördert.</w:t>
      </w:r>
      <w:r w:rsidRPr="00F41258" w:rsidDel="00F36225">
        <w:t xml:space="preserve"> </w:t>
      </w:r>
    </w:p>
    <w:p w14:paraId="6905E573" w14:textId="0F363F68" w:rsidR="00232CB1" w:rsidRPr="00F41258" w:rsidRDefault="00232CB1" w:rsidP="00583FF0">
      <w:pPr>
        <w:pStyle w:val="berschrift2"/>
      </w:pPr>
      <w:bookmarkStart w:id="53" w:name="_Heizungsoptimierung"/>
      <w:bookmarkStart w:id="54" w:name="_Toc112915685"/>
      <w:bookmarkStart w:id="55" w:name="_Toc144908000"/>
      <w:bookmarkEnd w:id="42"/>
      <w:bookmarkEnd w:id="49"/>
      <w:bookmarkEnd w:id="53"/>
      <w:r w:rsidRPr="00F41258">
        <w:t>Heizungsoptimierung</w:t>
      </w:r>
      <w:bookmarkEnd w:id="54"/>
      <w:bookmarkEnd w:id="55"/>
    </w:p>
    <w:p w14:paraId="22405348" w14:textId="3A54F29D" w:rsidR="00232CB1" w:rsidRPr="00F41258" w:rsidRDefault="00232CB1" w:rsidP="00583FF0">
      <w:r w:rsidRPr="00F41258">
        <w:lastRenderedPageBreak/>
        <w:t xml:space="preserve">Gefördert werden sämtliche Maßnahmen zur Optimierung </w:t>
      </w:r>
      <w:r w:rsidR="00601D17" w:rsidRPr="00F41258">
        <w:t xml:space="preserve">bestehender </w:t>
      </w:r>
      <w:r w:rsidRPr="00F41258">
        <w:t>Heizungsanlage</w:t>
      </w:r>
      <w:r w:rsidR="00601D17" w:rsidRPr="00F41258">
        <w:t>n</w:t>
      </w:r>
      <w:r w:rsidRPr="00F41258">
        <w:t xml:space="preserve"> in </w:t>
      </w:r>
      <w:bookmarkStart w:id="56" w:name="_Hlk113008637"/>
      <w:r w:rsidRPr="00F41258">
        <w:t>Bestandsgebäuden</w:t>
      </w:r>
      <w:r w:rsidR="009457B0" w:rsidRPr="00F41258">
        <w:t xml:space="preserve"> mit höchstens fünf Wohneinheiten bzw. bei Nichtwohngebäuden </w:t>
      </w:r>
      <w:r w:rsidR="00601D17" w:rsidRPr="00F41258">
        <w:t xml:space="preserve">mit </w:t>
      </w:r>
      <w:r w:rsidR="009457B0" w:rsidRPr="00F41258">
        <w:t>höchstens 1 000 Quadratmetern beheizter Fläche</w:t>
      </w:r>
      <w:r w:rsidRPr="00F41258">
        <w:t xml:space="preserve">, </w:t>
      </w:r>
      <w:bookmarkEnd w:id="56"/>
      <w:r w:rsidRPr="00F41258">
        <w:t>mit denen die Energieeffizienz des Systems erhöht wird</w:t>
      </w:r>
      <w:r w:rsidR="000D54F5" w:rsidRPr="00F41258">
        <w:t>.</w:t>
      </w:r>
      <w:r w:rsidRPr="00F41258">
        <w:t xml:space="preserve"> </w:t>
      </w:r>
      <w:r w:rsidR="000D54F5" w:rsidRPr="00F41258">
        <w:t>Zu den Maßnahmen</w:t>
      </w:r>
      <w:r w:rsidRPr="00F41258">
        <w:t xml:space="preserve"> gehören der hydraulische Abgleich der Heizungsanlage inklusive der Einstellung der Heizkurve,</w:t>
      </w:r>
      <w:r w:rsidR="000D54F5" w:rsidRPr="00F41258">
        <w:t xml:space="preserve"> sowie beispielsweise</w:t>
      </w:r>
      <w:r w:rsidRPr="00F41258">
        <w:t xml:space="preserve"> de</w:t>
      </w:r>
      <w:r w:rsidR="000D54F5" w:rsidRPr="00F41258">
        <w:t>r</w:t>
      </w:r>
      <w:r w:rsidRPr="00F41258">
        <w:t xml:space="preserve"> Austausch von Heizungspumpen</w:t>
      </w:r>
      <w:r w:rsidR="000D54F5" w:rsidRPr="00F41258">
        <w:t>, die</w:t>
      </w:r>
      <w:r w:rsidRPr="00F41258">
        <w:t xml:space="preserve"> Anpassung der Vorlauftemperatur und der Pumpenleistung, Maßnahmen zur Absenkung der Rücklauftemperatur bei Gebäudenetzen im Sinne von </w:t>
      </w:r>
      <w:hyperlink w:anchor="_Anschluss_an_ein" w:history="1">
        <w:r w:rsidR="00D4601B" w:rsidRPr="00F41258">
          <w:rPr>
            <w:rStyle w:val="Hyperlink"/>
          </w:rPr>
          <w:t>Nummer 5.3 Buchstabe g</w:t>
        </w:r>
      </w:hyperlink>
      <w:r w:rsidRPr="00F41258">
        <w:t>,</w:t>
      </w:r>
      <w:r w:rsidRPr="00F41258">
        <w:t xml:space="preserve"> im Fall einer Wärmepumpe auch die Optimierung der Wärmepumpe, die Dämmung von Rohrleitungen, der Einbau von Flächenheizungen, von Niedertemperaturheizkörpern und von Wärmespeichern im Gebäude oder gebäudenah (auf dem Gebäudegrundstück) sowie Mess-, Steuer- und Regelungstechniken.</w:t>
      </w:r>
    </w:p>
    <w:p w14:paraId="18C7B738" w14:textId="2F2B2BA9" w:rsidR="00232CB1" w:rsidRPr="00F41258" w:rsidRDefault="00232CB1" w:rsidP="00583FF0">
      <w:pPr>
        <w:pStyle w:val="berschrift2"/>
      </w:pPr>
      <w:bookmarkStart w:id="57" w:name="_Fachplanung_und_Baubegleitung_1"/>
      <w:bookmarkStart w:id="58" w:name="_Toc112915686"/>
      <w:bookmarkStart w:id="59" w:name="_Toc144908001"/>
      <w:bookmarkEnd w:id="57"/>
      <w:r w:rsidRPr="00F41258">
        <w:t>Fachplanung und Baubegleitung</w:t>
      </w:r>
      <w:bookmarkEnd w:id="58"/>
      <w:bookmarkEnd w:id="59"/>
    </w:p>
    <w:p w14:paraId="40CC8C73" w14:textId="4EB40119" w:rsidR="00232CB1" w:rsidRPr="00F41258" w:rsidRDefault="00232CB1" w:rsidP="00583FF0">
      <w:r w:rsidRPr="00F41258">
        <w:t xml:space="preserve">Gefördert werden energetische Fachplanungs- und Baubegleitungsleistungen im Zusammenhang </w:t>
      </w:r>
      <w:r w:rsidR="00A324E0" w:rsidRPr="00F41258">
        <w:t xml:space="preserve">(direkter inhaltlicher Bezug zu der investiven Maßnahme) </w:t>
      </w:r>
      <w:r w:rsidRPr="00F41258">
        <w:t xml:space="preserve">mit der Umsetzung von nach </w:t>
      </w:r>
      <w:hyperlink w:anchor="_Einzelmaßnahmen_an_der" w:history="1">
        <w:r w:rsidRPr="00F41258">
          <w:rPr>
            <w:rStyle w:val="Hyperlink"/>
          </w:rPr>
          <w:t>Nummern 5.1</w:t>
        </w:r>
      </w:hyperlink>
      <w:r w:rsidRPr="00F41258">
        <w:t xml:space="preserve"> bis </w:t>
      </w:r>
      <w:hyperlink w:anchor="_Heizungsoptimierung" w:history="1">
        <w:r w:rsidRPr="00F41258">
          <w:rPr>
            <w:rStyle w:val="Hyperlink"/>
          </w:rPr>
          <w:t>5.4</w:t>
        </w:r>
      </w:hyperlink>
      <w:r w:rsidRPr="00F41258">
        <w:t xml:space="preserve"> geförderten Maßnahmen. Hierzu zählt auch eine akustische Fachplanung in Verbindung mit dem Leitfaden für die Verbesserung des Schutzes gegen Lärm bei stationären Geräten der Bund/Länder-Arbeitsgemeinschaft Immissionsschutz für relevante technische Anlagen (z. B. Luftwärmepumpen, Klimageräte, Lüftungsanlagen) zur Einhaltung des Stands der Technik entsprechend § 22 BImSchG. Diese Leistungen können nur gefördert werden, wenn sie durch einen Energieeffizienz-Experten oder einen zusätzlich zu diesem beauftragten Dritten erbracht werden. Wird ein Dritter beauftragt, sind die durch ihn erbrachten Leistungen durch einen Energieeffizienz-Experten auf Plausibilität hinsichtlich der sachlichen Richtigkeit zu prüfen und das Ergebnis dieser Prüfung zu dokumentieren. </w:t>
      </w:r>
      <w:r w:rsidR="00634809" w:rsidRPr="00F41258">
        <w:t>Hinsichtlich der Einbindung des</w:t>
      </w:r>
      <w:r w:rsidRPr="00F41258">
        <w:t xml:space="preserve"> Energieeffizienz-</w:t>
      </w:r>
      <w:r w:rsidR="00634809" w:rsidRPr="00F41258">
        <w:t>Experten gelten</w:t>
      </w:r>
      <w:r w:rsidRPr="00F41258">
        <w:t xml:space="preserve"> die </w:t>
      </w:r>
      <w:r w:rsidR="00634809" w:rsidRPr="00F41258">
        <w:t xml:space="preserve">Vorgaben der </w:t>
      </w:r>
      <w:hyperlink w:anchor="_Fachunternehmererklärung/Einbindung" w:history="1">
        <w:r w:rsidR="00634809" w:rsidRPr="00F41258">
          <w:rPr>
            <w:rStyle w:val="Hyperlink"/>
          </w:rPr>
          <w:t>Nummer 9.3</w:t>
        </w:r>
      </w:hyperlink>
      <w:r w:rsidRPr="00F41258">
        <w:t>.</w:t>
      </w:r>
    </w:p>
    <w:p w14:paraId="0234FEF5" w14:textId="2636B2AF" w:rsidR="00232CB1" w:rsidRPr="00F41258" w:rsidRDefault="00232CB1" w:rsidP="00583FF0">
      <w:pPr>
        <w:pStyle w:val="berschrift1"/>
      </w:pPr>
      <w:bookmarkStart w:id="60" w:name="_Toc112915687"/>
      <w:bookmarkStart w:id="61" w:name="_Toc144908002"/>
      <w:r w:rsidRPr="00F41258">
        <w:t>Förderempfänger</w:t>
      </w:r>
      <w:bookmarkEnd w:id="60"/>
      <w:bookmarkEnd w:id="61"/>
      <w:r w:rsidRPr="00F41258">
        <w:t xml:space="preserve"> </w:t>
      </w:r>
    </w:p>
    <w:p w14:paraId="4625B50D" w14:textId="1B71B792" w:rsidR="00232CB1" w:rsidRPr="00F41258" w:rsidRDefault="00232CB1" w:rsidP="00583FF0">
      <w:pPr>
        <w:pStyle w:val="berschrift2"/>
      </w:pPr>
      <w:bookmarkStart w:id="62" w:name="_Toc112915688"/>
      <w:bookmarkStart w:id="63" w:name="_Toc144908003"/>
      <w:r w:rsidRPr="00F41258">
        <w:t>Antragsberechtigte</w:t>
      </w:r>
      <w:bookmarkEnd w:id="62"/>
      <w:bookmarkEnd w:id="63"/>
      <w:r w:rsidRPr="00F41258">
        <w:t xml:space="preserve"> </w:t>
      </w:r>
    </w:p>
    <w:p w14:paraId="08E2EB86" w14:textId="6A9B03DB" w:rsidR="00F802E8" w:rsidRPr="00F41258" w:rsidRDefault="00232CB1" w:rsidP="00F802E8">
      <w:bookmarkStart w:id="64" w:name="_Hlk116043732"/>
      <w:bookmarkStart w:id="65" w:name="_Hlk115338512"/>
      <w:r w:rsidRPr="00F41258">
        <w:t>Antragsberechtigt sind</w:t>
      </w:r>
      <w:r w:rsidR="00C12839" w:rsidRPr="00F41258">
        <w:t xml:space="preserve"> alle Investoren </w:t>
      </w:r>
      <w:bookmarkStart w:id="66" w:name="_Hlk116043883"/>
      <w:r w:rsidR="00571AB9" w:rsidRPr="00F41258">
        <w:t>(z. B. Hauseigentümer</w:t>
      </w:r>
      <w:r w:rsidR="00240820" w:rsidRPr="00F41258">
        <w:t xml:space="preserve"> bzw. deren Verwalter</w:t>
      </w:r>
      <w:r w:rsidR="00A057DC" w:rsidRPr="00F41258">
        <w:t>, Contractoren, Unternehmen, gemeinnützige Organisationen, Kommunen</w:t>
      </w:r>
      <w:r w:rsidR="00571AB9" w:rsidRPr="00F41258">
        <w:t xml:space="preserve">) </w:t>
      </w:r>
      <w:bookmarkEnd w:id="66"/>
      <w:r w:rsidR="00C12839" w:rsidRPr="00F41258">
        <w:t>von förderfähigen Maßnahmen an Wohngebäuden und Nichtwohngebäuden.</w:t>
      </w:r>
      <w:bookmarkStart w:id="67" w:name="_Hlk115163767"/>
      <w:bookmarkStart w:id="68" w:name="_Hlk114746395"/>
    </w:p>
    <w:p w14:paraId="13E2FF24" w14:textId="0C1F1C6D" w:rsidR="009756A6" w:rsidRPr="00F41258" w:rsidRDefault="00AE72A8" w:rsidP="00771279">
      <w:r w:rsidRPr="00F41258">
        <w:t xml:space="preserve">Antragsberechtigt sind Stadtstaaten sowie deren Einrichtungen als Ausnahme zu </w:t>
      </w:r>
      <w:hyperlink w:anchor="_Nicht_antragsberechtigt" w:history="1">
        <w:r w:rsidRPr="00F41258">
          <w:rPr>
            <w:rStyle w:val="Hyperlink"/>
          </w:rPr>
          <w:t>Nummer 6.2</w:t>
        </w:r>
      </w:hyperlink>
      <w:r w:rsidRPr="00F41258">
        <w:t>, wenn sie mit der geförderten Maßnahme Aufgaben nachkommen, die in anderen Ländern auf kommunaler Ebene wahrgenommen werden.</w:t>
      </w:r>
    </w:p>
    <w:bookmarkEnd w:id="64"/>
    <w:p w14:paraId="35A8E2A9" w14:textId="274BCED6" w:rsidR="00F802E8" w:rsidRPr="00F41258" w:rsidRDefault="00F802E8" w:rsidP="00F802E8">
      <w:r w:rsidRPr="00F41258">
        <w:t xml:space="preserve">Wenn der </w:t>
      </w:r>
      <w:r w:rsidR="004C0CF2" w:rsidRPr="00F41258">
        <w:t>Antragsteller</w:t>
      </w:r>
      <w:r w:rsidRPr="00F41258">
        <w:t xml:space="preserve"> nicht der Eigentümer des Gebäudes ist, ist </w:t>
      </w:r>
      <w:r w:rsidR="006E304E" w:rsidRPr="00F41258">
        <w:t xml:space="preserve">er nur dann antragberechtigt, wenn auch </w:t>
      </w:r>
      <w:r w:rsidRPr="00F41258">
        <w:t xml:space="preserve">der Gebäudeeigentümer </w:t>
      </w:r>
      <w:r w:rsidR="006E304E" w:rsidRPr="00F41258">
        <w:t xml:space="preserve">antragsberechtigt ist und dieser </w:t>
      </w:r>
      <w:r w:rsidRPr="00F41258">
        <w:t xml:space="preserve">vor Antragsstellung über die Inanspruchnahme der Förderung sowie über die Höhe des maximalen Förderbetrags </w:t>
      </w:r>
      <w:r w:rsidRPr="00F41258">
        <w:t>informier</w:t>
      </w:r>
      <w:r w:rsidR="006E304E" w:rsidRPr="00F41258">
        <w:t>t wurde</w:t>
      </w:r>
      <w:r w:rsidRPr="00F41258">
        <w:t>.</w:t>
      </w:r>
      <w:r w:rsidRPr="00F41258">
        <w:t xml:space="preserve"> Der Gebäudeeigentümer muss die Einhaltung der ihn betreffenden Verpflichtungen gegenüber dem </w:t>
      </w:r>
      <w:r w:rsidR="004C0CF2" w:rsidRPr="00F41258">
        <w:t>Antragsteller</w:t>
      </w:r>
      <w:r w:rsidRPr="00F41258">
        <w:t xml:space="preserve"> bestätigen, wie insbesondere:</w:t>
      </w:r>
    </w:p>
    <w:bookmarkEnd w:id="67"/>
    <w:p w14:paraId="2B0C2D76" w14:textId="2F73D3A2" w:rsidR="00F802E8" w:rsidRPr="00F41258" w:rsidRDefault="00FF17A2" w:rsidP="009B6F99">
      <w:pPr>
        <w:pStyle w:val="Listenabsatz"/>
        <w:numPr>
          <w:ilvl w:val="0"/>
          <w:numId w:val="31"/>
        </w:numPr>
        <w:spacing w:before="120" w:after="120"/>
      </w:pPr>
      <w:r w:rsidRPr="00F41258">
        <w:fldChar w:fldCharType="begin"/>
      </w:r>
      <w:r w:rsidRPr="00F41258">
        <w:instrText xml:space="preserve"> HYPERLINK  \l "_Allgemeine_Fördervoraussetzungen" </w:instrText>
      </w:r>
      <w:r w:rsidRPr="00F41258">
        <w:fldChar w:fldCharType="separate"/>
      </w:r>
      <w:r w:rsidR="00F802E8" w:rsidRPr="00F41258">
        <w:rPr>
          <w:rStyle w:val="Hyperlink"/>
        </w:rPr>
        <w:t>Nummer 7.1</w:t>
      </w:r>
      <w:r w:rsidRPr="00F41258">
        <w:fldChar w:fldCharType="end"/>
      </w:r>
      <w:r w:rsidR="00F802E8" w:rsidRPr="00F41258">
        <w:t xml:space="preserve"> geregelte Nutzungspflicht für das Gebäude,</w:t>
      </w:r>
    </w:p>
    <w:p w14:paraId="0D38C6F6" w14:textId="098ACB97" w:rsidR="00F802E8" w:rsidRPr="00F41258" w:rsidRDefault="00240820" w:rsidP="009B6F99">
      <w:pPr>
        <w:pStyle w:val="Listenabsatz"/>
        <w:numPr>
          <w:ilvl w:val="0"/>
          <w:numId w:val="31"/>
        </w:numPr>
        <w:spacing w:before="120" w:after="120"/>
      </w:pPr>
      <w:hyperlink w:anchor="_Allgemeine_Fördervoraussetzungen" w:history="1">
        <w:r w:rsidR="00F802E8" w:rsidRPr="00F41258">
          <w:rPr>
            <w:rStyle w:val="Hyperlink"/>
          </w:rPr>
          <w:t>Nummer 7.1</w:t>
        </w:r>
      </w:hyperlink>
      <w:r w:rsidR="00F802E8" w:rsidRPr="00F41258">
        <w:t xml:space="preserve"> geregelten Hinweis-, Übertragungs- und Anzeigepflichten bei einem Eigentümerwechsel und die nach</w:t>
      </w:r>
    </w:p>
    <w:p w14:paraId="56357C98" w14:textId="2CB11C40" w:rsidR="00F802E8" w:rsidRPr="00F41258" w:rsidRDefault="00240820" w:rsidP="009B6F99">
      <w:pPr>
        <w:pStyle w:val="Listenabsatz"/>
        <w:numPr>
          <w:ilvl w:val="0"/>
          <w:numId w:val="31"/>
        </w:numPr>
        <w:spacing w:before="120" w:after="120"/>
      </w:pPr>
      <w:hyperlink w:anchor="_Auskunfts-_und_Prüfungsrechte," w:history="1">
        <w:r w:rsidR="00F802E8" w:rsidRPr="00F41258">
          <w:rPr>
            <w:rStyle w:val="Hyperlink"/>
          </w:rPr>
          <w:t>Nummer 9.7</w:t>
        </w:r>
      </w:hyperlink>
      <w:r w:rsidR="00F802E8" w:rsidRPr="00F41258">
        <w:t xml:space="preserve"> geregelten Auskunfts- und Prüfungsrechte.</w:t>
      </w:r>
      <w:r w:rsidR="00F802E8" w:rsidRPr="00F41258" w:rsidDel="00755066">
        <w:t xml:space="preserve"> </w:t>
      </w:r>
    </w:p>
    <w:p w14:paraId="2D493799" w14:textId="08B210BA" w:rsidR="00232CB1" w:rsidRPr="00F41258" w:rsidRDefault="00232CB1" w:rsidP="00583FF0">
      <w:pPr>
        <w:pStyle w:val="berschrift2"/>
      </w:pPr>
      <w:bookmarkStart w:id="69" w:name="_Nicht_antragsberechtigt"/>
      <w:bookmarkStart w:id="70" w:name="_Toc112915689"/>
      <w:bookmarkStart w:id="71" w:name="_Toc144908004"/>
      <w:bookmarkEnd w:id="65"/>
      <w:bookmarkEnd w:id="68"/>
      <w:bookmarkEnd w:id="69"/>
      <w:r w:rsidRPr="00F41258">
        <w:t>Nicht antragsberechtigt</w:t>
      </w:r>
      <w:bookmarkEnd w:id="70"/>
      <w:bookmarkEnd w:id="71"/>
    </w:p>
    <w:p w14:paraId="6CE6A7EE" w14:textId="77777777" w:rsidR="00232CB1" w:rsidRPr="00F41258" w:rsidRDefault="00232CB1" w:rsidP="00583FF0">
      <w:r w:rsidRPr="00F41258">
        <w:t>Nicht antragsberechtigt sind:</w:t>
      </w:r>
    </w:p>
    <w:p w14:paraId="4D5461D5" w14:textId="4F877FFE" w:rsidR="00D064E5" w:rsidRPr="00F41258" w:rsidRDefault="00232CB1" w:rsidP="009B6F99">
      <w:pPr>
        <w:pStyle w:val="Listenabsatz"/>
        <w:numPr>
          <w:ilvl w:val="0"/>
          <w:numId w:val="33"/>
        </w:numPr>
        <w:spacing w:before="120" w:after="120"/>
      </w:pPr>
      <w:r w:rsidRPr="00F41258">
        <w:t>der Bund, die Bundesländer und deren Einrichtungen;</w:t>
      </w:r>
      <w:r w:rsidR="00D064E5" w:rsidRPr="00F41258">
        <w:t xml:space="preserve"> als</w:t>
      </w:r>
    </w:p>
    <w:p w14:paraId="393A10AE" w14:textId="77777777" w:rsidR="00D064E5" w:rsidRPr="00F41258" w:rsidRDefault="00D064E5" w:rsidP="009B6F99">
      <w:pPr>
        <w:pStyle w:val="Listenabsatz"/>
        <w:numPr>
          <w:ilvl w:val="1"/>
          <w:numId w:val="34"/>
        </w:numPr>
        <w:spacing w:before="120" w:after="120"/>
      </w:pPr>
      <w:r w:rsidRPr="00F41258">
        <w:t>nicht rechtsfähige Bundesbehörden (d.h. ohne eigene Rechtsform)</w:t>
      </w:r>
    </w:p>
    <w:p w14:paraId="039EB70F" w14:textId="77777777" w:rsidR="00D064E5" w:rsidRPr="00F41258" w:rsidRDefault="00D064E5" w:rsidP="009B6F99">
      <w:pPr>
        <w:pStyle w:val="Listenabsatz"/>
        <w:numPr>
          <w:ilvl w:val="1"/>
          <w:numId w:val="34"/>
        </w:numPr>
        <w:spacing w:before="120" w:after="120"/>
      </w:pPr>
      <w:r w:rsidRPr="00F41258">
        <w:t>in bundeseigener oder landeseigener Verwaltung</w:t>
      </w:r>
    </w:p>
    <w:p w14:paraId="7AE177BD" w14:textId="77777777" w:rsidR="00D064E5" w:rsidRPr="00F41258" w:rsidRDefault="00D064E5" w:rsidP="00D064E5">
      <w:pPr>
        <w:pStyle w:val="Listenabsatz"/>
      </w:pPr>
      <w:r w:rsidRPr="00F41258">
        <w:t xml:space="preserve">dazu zählen </w:t>
      </w:r>
    </w:p>
    <w:p w14:paraId="36BB7DD4" w14:textId="77777777" w:rsidR="00D064E5" w:rsidRPr="00F41258" w:rsidRDefault="00D064E5" w:rsidP="009B6F99">
      <w:pPr>
        <w:pStyle w:val="Listenabsatz"/>
        <w:numPr>
          <w:ilvl w:val="1"/>
          <w:numId w:val="35"/>
        </w:numPr>
        <w:spacing w:before="120" w:after="120"/>
      </w:pPr>
      <w:r w:rsidRPr="00F41258">
        <w:t>Oberste Bundesbehörden</w:t>
      </w:r>
    </w:p>
    <w:p w14:paraId="51D704B5" w14:textId="77777777" w:rsidR="00D064E5" w:rsidRPr="00F41258" w:rsidRDefault="00D064E5" w:rsidP="009B6F99">
      <w:pPr>
        <w:pStyle w:val="Listenabsatz"/>
        <w:numPr>
          <w:ilvl w:val="1"/>
          <w:numId w:val="35"/>
        </w:numPr>
        <w:spacing w:before="120" w:after="120"/>
      </w:pPr>
      <w:r w:rsidRPr="00F41258">
        <w:t>Bundesoberbehörden (auch Obere Bundesbehörden genannt)</w:t>
      </w:r>
    </w:p>
    <w:p w14:paraId="40DC73AA" w14:textId="77777777" w:rsidR="00D064E5" w:rsidRPr="00F41258" w:rsidRDefault="00D064E5" w:rsidP="009B6F99">
      <w:pPr>
        <w:pStyle w:val="Listenabsatz"/>
        <w:numPr>
          <w:ilvl w:val="1"/>
          <w:numId w:val="35"/>
        </w:numPr>
        <w:spacing w:before="120" w:after="120"/>
      </w:pPr>
      <w:r w:rsidRPr="00F41258">
        <w:t>Bundesmittelbehörden</w:t>
      </w:r>
    </w:p>
    <w:p w14:paraId="644E076A" w14:textId="77777777" w:rsidR="00D064E5" w:rsidRPr="00F41258" w:rsidRDefault="00D064E5" w:rsidP="009B6F99">
      <w:pPr>
        <w:pStyle w:val="Listenabsatz"/>
        <w:numPr>
          <w:ilvl w:val="1"/>
          <w:numId w:val="35"/>
        </w:numPr>
        <w:spacing w:before="120" w:after="120"/>
      </w:pPr>
      <w:r w:rsidRPr="00F41258">
        <w:t>Bundesunterbehörden (auch Ortsbehörden genannt)</w:t>
      </w:r>
    </w:p>
    <w:p w14:paraId="67C5589F" w14:textId="6C5173CD" w:rsidR="00232CB1" w:rsidRPr="00F41258" w:rsidRDefault="00D064E5" w:rsidP="009B6F99">
      <w:pPr>
        <w:pStyle w:val="Listenabsatz"/>
        <w:numPr>
          <w:ilvl w:val="1"/>
          <w:numId w:val="13"/>
        </w:numPr>
      </w:pPr>
      <w:r w:rsidRPr="00F41258">
        <w:t>Landesbehörden</w:t>
      </w:r>
    </w:p>
    <w:p w14:paraId="07AAEE21" w14:textId="77777777" w:rsidR="00D064E5" w:rsidRPr="00F41258" w:rsidRDefault="00232CB1" w:rsidP="009B6F99">
      <w:pPr>
        <w:pStyle w:val="Listenabsatz"/>
        <w:numPr>
          <w:ilvl w:val="0"/>
          <w:numId w:val="13"/>
        </w:numPr>
      </w:pPr>
      <w:r w:rsidRPr="00F41258">
        <w:t>politische Parteien</w:t>
      </w:r>
      <w:r w:rsidR="00536980" w:rsidRPr="00F41258">
        <w:t>;</w:t>
      </w:r>
    </w:p>
    <w:p w14:paraId="3FBAF7D7" w14:textId="3A23BA32" w:rsidR="00232CB1" w:rsidRPr="00F41258" w:rsidRDefault="00232CB1" w:rsidP="00622573">
      <w:r w:rsidRPr="00F41258">
        <w:t>Antragsteller, über deren Vermögen ein Insolvenzverfahren beantragt oder eröffnet worden ist, sowie Antragsteller, die eine eidesstattliche Versicherung gemäß § 807 der Zivilprozessordnung oder eine Vermögensauskunft gemäß § 802c der Zivilprozessordnung oder § 284 der Abgabenordnung abgegeben haben oder zu deren Abgabe verpflichtet sind.</w:t>
      </w:r>
      <w:bookmarkStart w:id="72" w:name="_Hlk142492994"/>
    </w:p>
    <w:p w14:paraId="02C2B6C5" w14:textId="43B181DD" w:rsidR="00232CB1" w:rsidRPr="00F41258" w:rsidRDefault="00613869" w:rsidP="00583FF0">
      <w:pPr>
        <w:pStyle w:val="berschrift1"/>
      </w:pPr>
      <w:bookmarkStart w:id="73" w:name="_Toc112915690"/>
      <w:bookmarkStart w:id="74" w:name="_Toc144908005"/>
      <w:bookmarkEnd w:id="72"/>
      <w:r w:rsidRPr="00F41258">
        <w:t xml:space="preserve">Besondere </w:t>
      </w:r>
      <w:r w:rsidR="00232CB1" w:rsidRPr="00F41258">
        <w:t>Fördervoraussetzungen</w:t>
      </w:r>
      <w:bookmarkEnd w:id="73"/>
      <w:bookmarkEnd w:id="74"/>
    </w:p>
    <w:p w14:paraId="02EA57DF" w14:textId="371A4218" w:rsidR="00232CB1" w:rsidRPr="00F41258" w:rsidRDefault="00232CB1" w:rsidP="00583FF0">
      <w:pPr>
        <w:pStyle w:val="berschrift2"/>
      </w:pPr>
      <w:bookmarkStart w:id="75" w:name="_Allgemeine_Fördervoraussetzungen"/>
      <w:bookmarkStart w:id="76" w:name="_Toc112915691"/>
      <w:bookmarkStart w:id="77" w:name="_Toc144908006"/>
      <w:bookmarkEnd w:id="75"/>
      <w:r w:rsidRPr="00F41258">
        <w:t>Allgemeine Fördervoraussetzungen</w:t>
      </w:r>
      <w:bookmarkEnd w:id="76"/>
      <w:bookmarkEnd w:id="77"/>
    </w:p>
    <w:p w14:paraId="7339B13F" w14:textId="77777777" w:rsidR="00232CB1" w:rsidRPr="00F41258" w:rsidRDefault="00232CB1" w:rsidP="00583FF0">
      <w:r w:rsidRPr="00F41258">
        <w:t>Gefördert werden ausschließlich Investitionsvorhaben, die auf dem Gebiet der Bundesrepublik Deutschland durchgeführt werden. Weitere Voraussetzung ist, dass die geförderte Maßnahme zu einer Verbesserung des energetischen Niveaus des Gebäudes beiträgt.</w:t>
      </w:r>
    </w:p>
    <w:p w14:paraId="0751A74F" w14:textId="4470E65B" w:rsidR="00232CB1" w:rsidRPr="00F41258" w:rsidRDefault="00232CB1" w:rsidP="00583FF0">
      <w:bookmarkStart w:id="78" w:name="_Hlk105667573"/>
      <w:r w:rsidRPr="00F41258">
        <w:t xml:space="preserve">Die geförderten Anlagen oder durch die Einzelmaßnahme energetisch optimierten Gebäudeteile sind mindestens zehn Jahre zweckentsprechend zu nutzen. </w:t>
      </w:r>
      <w:bookmarkEnd w:id="78"/>
      <w:r w:rsidRPr="00F41258">
        <w:t xml:space="preserve">Innerhalb dieses Zeitraums ist bei der Veräußerung eines geförderten Gebäudes oder einer geförderten Wohneinheit der Erwerber auf die Förderung, die Nutzungspflicht und das Verschlechterungsverbot für die energetische Qualität des Gebäudes nach § 46 und § 57 GEG hinzuweisen. Die Pflichten nach </w:t>
      </w:r>
      <w:hyperlink w:anchor="_Allgemeine_Fördervoraussetzungen" w:history="1">
        <w:r w:rsidRPr="00F41258">
          <w:rPr>
            <w:rStyle w:val="Hyperlink"/>
          </w:rPr>
          <w:t>Nummer 7.1</w:t>
        </w:r>
      </w:hyperlink>
      <w:r w:rsidRPr="00F41258">
        <w:t xml:space="preserve"> und </w:t>
      </w:r>
      <w:hyperlink w:anchor="_Auskunfts-_und_Prüfungsrechte," w:history="1">
        <w:r w:rsidRPr="00F41258">
          <w:rPr>
            <w:rStyle w:val="Hyperlink"/>
          </w:rPr>
          <w:t>9.7</w:t>
        </w:r>
      </w:hyperlink>
      <w:r w:rsidRPr="00F41258">
        <w:t xml:space="preserve"> sind hinsichtlich des geförderten Gebäudes im Rahmen des Kaufvertrags auf den Erwerber zu übertragen. Die Nutzungsänderung oder -aufgabe und der Abriss eines geförderten Gebäudes oder einer geförderten Wohneinheit innerhalb dieses Zeitraums sind dem Durchführer, der die Förderung gewährt hat, durch den Antragsteller, bzw. im Fall einer Veräußerung durch den Erwerber, unverzüglich anzuzeigen. Der Durchführer ist in diesen Fällen berechtigt, die Förderung anteilig zurückzufordern, soweit der Förderzweck nicht mehr erreicht werden kann.</w:t>
      </w:r>
    </w:p>
    <w:p w14:paraId="34FBC47D" w14:textId="57307FA0" w:rsidR="00232CB1" w:rsidRPr="00F41258" w:rsidRDefault="00232CB1" w:rsidP="00583FF0">
      <w:pPr>
        <w:pStyle w:val="berschrift2"/>
      </w:pPr>
      <w:bookmarkStart w:id="79" w:name="_Toc112915692"/>
      <w:bookmarkStart w:id="80" w:name="_Toc144908007"/>
      <w:r w:rsidRPr="00F41258">
        <w:t>Verfügbarkeit von Haushaltsmitteln</w:t>
      </w:r>
      <w:bookmarkEnd w:id="79"/>
      <w:bookmarkEnd w:id="80"/>
    </w:p>
    <w:p w14:paraId="39ADBB50" w14:textId="77777777" w:rsidR="00232CB1" w:rsidRPr="00F41258" w:rsidRDefault="00232CB1" w:rsidP="00583FF0">
      <w:r w:rsidRPr="00F41258">
        <w:t>Ein Rechtsanspruch des Antragstellers auf die Förderung besteht nicht. Die Gewährung der Förderung erfolgt aufgrund pflichtgemäßen Ermessens. Die Gewährung der Förderung steht unter dem Vorbehalt der Verfügbarkeit der veranschlagten Haushaltsmittel.</w:t>
      </w:r>
    </w:p>
    <w:p w14:paraId="791C17AF" w14:textId="765A080A" w:rsidR="00613869" w:rsidRPr="00F41258" w:rsidRDefault="00613869" w:rsidP="00613869">
      <w:pPr>
        <w:pStyle w:val="berschrift2"/>
      </w:pPr>
      <w:bookmarkStart w:id="81" w:name="_Toc144908023"/>
      <w:r w:rsidRPr="00F41258">
        <w:t>Anwendungsbereich des Ordnungsrechts</w:t>
      </w:r>
      <w:bookmarkEnd w:id="81"/>
    </w:p>
    <w:p w14:paraId="45C59081" w14:textId="77777777" w:rsidR="00613869" w:rsidRPr="00F41258" w:rsidRDefault="00613869" w:rsidP="00613869">
      <w:r w:rsidRPr="00F41258">
        <w:lastRenderedPageBreak/>
        <w:t xml:space="preserve">Förderfähig sind die in </w:t>
      </w:r>
      <w:hyperlink w:anchor="_Gegenstand_der_Förderung" w:history="1">
        <w:r w:rsidRPr="00F41258">
          <w:rPr>
            <w:rStyle w:val="Hyperlink"/>
          </w:rPr>
          <w:t>Nummer 5</w:t>
        </w:r>
      </w:hyperlink>
      <w:r w:rsidRPr="00F41258">
        <w:t xml:space="preserve"> genannten Maßnahmen nur bei Gebäuden, die nach Umsetzung aller Maßnahmen unter den Anwendungsbereich des GEG fallen.</w:t>
      </w:r>
    </w:p>
    <w:p w14:paraId="47458F7C" w14:textId="76F3539A" w:rsidR="00613869" w:rsidRPr="00F41258" w:rsidRDefault="00613869" w:rsidP="00613869">
      <w:pPr>
        <w:pStyle w:val="berschrift2"/>
      </w:pPr>
      <w:bookmarkStart w:id="82" w:name="_Toc144908024"/>
      <w:r w:rsidRPr="00F41258">
        <w:t>Technische Mindestanforderungen</w:t>
      </w:r>
      <w:bookmarkEnd w:id="82"/>
    </w:p>
    <w:p w14:paraId="529E7418" w14:textId="6FDB3168" w:rsidR="00613869" w:rsidRPr="00F41258" w:rsidRDefault="00613869" w:rsidP="00613869">
      <w:r w:rsidRPr="00F41258">
        <w:t xml:space="preserve">Die Förderung der energetischen Sanierungsmaßnahmen setzt voraus, dass die Anforderungen des geltenden Ordnungsrechts einschließlich der Anforderungen aus § 22 Absatz 1 BImSchG, insbesondere auch hinsichtlich des Stands der Technik, sowie die in der Anlage zu dieser </w:t>
      </w:r>
      <w:r w:rsidRPr="00F41258">
        <w:t>Förderrichtlinie</w:t>
      </w:r>
      <w:r w:rsidRPr="00F41258">
        <w:t xml:space="preserve"> festgelegten technischen Mindestanforderungen erfüllt sind.</w:t>
      </w:r>
    </w:p>
    <w:p w14:paraId="082FD226" w14:textId="77777777" w:rsidR="00E96DBE" w:rsidRPr="00F41258" w:rsidRDefault="00E96DBE" w:rsidP="00583FF0"/>
    <w:p w14:paraId="58F7C5FA" w14:textId="4703435D" w:rsidR="00232CB1" w:rsidRPr="00F41258" w:rsidRDefault="00232CB1" w:rsidP="00583FF0">
      <w:pPr>
        <w:pStyle w:val="berschrift1"/>
      </w:pPr>
      <w:bookmarkStart w:id="83" w:name="_Toc112915693"/>
      <w:bookmarkStart w:id="84" w:name="_Toc144908008"/>
      <w:r w:rsidRPr="00F41258">
        <w:t>Art</w:t>
      </w:r>
      <w:r w:rsidR="00613869" w:rsidRPr="00F41258">
        <w:t xml:space="preserve"> und Umfang</w:t>
      </w:r>
      <w:r w:rsidRPr="00F41258">
        <w:t xml:space="preserve"> der Förderung, Höhe der Förderung</w:t>
      </w:r>
      <w:bookmarkEnd w:id="83"/>
      <w:r w:rsidRPr="00F41258">
        <w:t xml:space="preserve"> </w:t>
      </w:r>
      <w:bookmarkEnd w:id="84"/>
    </w:p>
    <w:p w14:paraId="3472E076" w14:textId="5D988564" w:rsidR="00232CB1" w:rsidRPr="00F41258" w:rsidRDefault="00232CB1" w:rsidP="00583FF0">
      <w:pPr>
        <w:pStyle w:val="berschrift2"/>
      </w:pPr>
      <w:bookmarkStart w:id="85" w:name="_Art_der_Förderung"/>
      <w:bookmarkStart w:id="86" w:name="_Toc112915694"/>
      <w:bookmarkStart w:id="87" w:name="_Toc144908009"/>
      <w:bookmarkEnd w:id="85"/>
      <w:r w:rsidRPr="00F41258">
        <w:t>Art der Förderung</w:t>
      </w:r>
      <w:bookmarkEnd w:id="86"/>
      <w:bookmarkEnd w:id="87"/>
    </w:p>
    <w:p w14:paraId="198A4B12" w14:textId="77777777" w:rsidR="003E098F" w:rsidRPr="00F41258" w:rsidRDefault="00232CB1" w:rsidP="00583FF0">
      <w:r w:rsidRPr="00F41258">
        <w:t>Die Förderung erfolgt als Projektförderung auf Ausgabenbasis in Form der Anteilfinanzierung (ein Teil der förderfähigen Kosten der Maßnahme wird gefördert) durch einen nicht rückzahlbaren Investitionszuschuss („Zuschussförderung</w:t>
      </w:r>
      <w:r w:rsidRPr="00F41258">
        <w:t>“)</w:t>
      </w:r>
      <w:r w:rsidR="009756A6" w:rsidRPr="00F41258">
        <w:t xml:space="preserve">. </w:t>
      </w:r>
    </w:p>
    <w:p w14:paraId="3619E423" w14:textId="5795E752" w:rsidR="00232CB1" w:rsidRPr="00F41258" w:rsidRDefault="009756A6" w:rsidP="00583FF0">
      <w:r w:rsidRPr="00F41258">
        <w:t xml:space="preserve">Daneben </w:t>
      </w:r>
      <w:r w:rsidR="00CA551B" w:rsidRPr="00F41258">
        <w:t>k</w:t>
      </w:r>
      <w:r w:rsidR="00C10BAE" w:rsidRPr="00F41258">
        <w:t xml:space="preserve">ann </w:t>
      </w:r>
      <w:r w:rsidR="003E098F" w:rsidRPr="00F41258">
        <w:t xml:space="preserve">ein </w:t>
      </w:r>
      <w:r w:rsidR="003D0ECE" w:rsidRPr="00F41258">
        <w:t xml:space="preserve">zinsgünstiger </w:t>
      </w:r>
      <w:r w:rsidR="003E098F" w:rsidRPr="00F41258">
        <w:t>Ergänzungskredit</w:t>
      </w:r>
      <w:r w:rsidR="003D0ECE" w:rsidRPr="00F41258">
        <w:t xml:space="preserve"> für Wohngebäude</w:t>
      </w:r>
      <w:r w:rsidR="003E098F" w:rsidRPr="00F41258">
        <w:t xml:space="preserve"> für die Finanzierung </w:t>
      </w:r>
      <w:r w:rsidR="00725DC8" w:rsidRPr="00F41258">
        <w:t>förderfähiger</w:t>
      </w:r>
      <w:r w:rsidR="003E098F" w:rsidRPr="00F41258">
        <w:t xml:space="preserve"> </w:t>
      </w:r>
      <w:r w:rsidR="00725DC8" w:rsidRPr="00F41258">
        <w:t>Kosten</w:t>
      </w:r>
      <w:r w:rsidR="00016A57" w:rsidRPr="00F41258">
        <w:t xml:space="preserve"> </w:t>
      </w:r>
      <w:r w:rsidR="00725DC8" w:rsidRPr="00F41258">
        <w:t>nach Nummer 8.2</w:t>
      </w:r>
      <w:r w:rsidR="00D809FD" w:rsidRPr="00F41258">
        <w:t xml:space="preserve"> </w:t>
      </w:r>
      <w:r w:rsidR="003E098F" w:rsidRPr="00F41258">
        <w:t>beantrag</w:t>
      </w:r>
      <w:r w:rsidR="00C10BAE" w:rsidRPr="00F41258">
        <w:t>t werden</w:t>
      </w:r>
      <w:r w:rsidR="003E098F" w:rsidRPr="00F41258">
        <w:t xml:space="preserve">. </w:t>
      </w:r>
      <w:r w:rsidR="00C10BAE" w:rsidRPr="00F41258">
        <w:t xml:space="preserve">Selbstnutzenden Eigentümern mit einem </w:t>
      </w:r>
      <w:r w:rsidR="003E098F" w:rsidRPr="00F41258">
        <w:t>zu</w:t>
      </w:r>
      <w:r w:rsidRPr="00F41258">
        <w:t xml:space="preserve"> versteuernde</w:t>
      </w:r>
      <w:r w:rsidR="00C10BAE" w:rsidRPr="00F41258">
        <w:t>m</w:t>
      </w:r>
      <w:r w:rsidRPr="00F41258">
        <w:t xml:space="preserve"> Haushalts</w:t>
      </w:r>
      <w:r w:rsidR="00FF3150" w:rsidRPr="00F41258">
        <w:t>jahres</w:t>
      </w:r>
      <w:r w:rsidRPr="00F41258">
        <w:t>einkommen</w:t>
      </w:r>
      <w:r w:rsidR="003E098F" w:rsidRPr="00F41258">
        <w:t xml:space="preserve"> </w:t>
      </w:r>
      <w:r w:rsidR="008F1B23" w:rsidRPr="00F41258">
        <w:t xml:space="preserve">von </w:t>
      </w:r>
      <w:r w:rsidRPr="00F41258">
        <w:t>bis zu 90</w:t>
      </w:r>
      <w:r w:rsidR="005B294F" w:rsidRPr="00F41258">
        <w:t> </w:t>
      </w:r>
      <w:r w:rsidRPr="00F41258">
        <w:t>000 Euro</w:t>
      </w:r>
      <w:r w:rsidR="003E098F" w:rsidRPr="00F41258">
        <w:t xml:space="preserve"> wird</w:t>
      </w:r>
      <w:r w:rsidR="00FF3150" w:rsidRPr="00F41258">
        <w:t xml:space="preserve"> ein zusätzlicher Zinsvorteil gewährt.</w:t>
      </w:r>
      <w:r w:rsidR="003E098F" w:rsidRPr="00F41258">
        <w:t xml:space="preserve"> </w:t>
      </w:r>
      <w:r w:rsidR="00FF3150" w:rsidRPr="00F41258">
        <w:t xml:space="preserve">Die </w:t>
      </w:r>
      <w:r w:rsidR="007C3E65" w:rsidRPr="00F41258">
        <w:t xml:space="preserve">Zinsverbilligung </w:t>
      </w:r>
      <w:r w:rsidR="00FF3150" w:rsidRPr="00F41258">
        <w:t xml:space="preserve">wird </w:t>
      </w:r>
      <w:r w:rsidR="007C3E65" w:rsidRPr="00F41258">
        <w:t>aus</w:t>
      </w:r>
      <w:r w:rsidR="00FF3150" w:rsidRPr="00F41258">
        <w:t xml:space="preserve"> Mitteln des</w:t>
      </w:r>
      <w:r w:rsidR="007C3E65" w:rsidRPr="00F41258">
        <w:t xml:space="preserve"> Bundes</w:t>
      </w:r>
      <w:r w:rsidR="00A27D69" w:rsidRPr="00F41258">
        <w:t>gewährt</w:t>
      </w:r>
      <w:r w:rsidRPr="00F41258">
        <w:t>.</w:t>
      </w:r>
    </w:p>
    <w:p w14:paraId="1A51E151" w14:textId="3F422585" w:rsidR="00232CB1" w:rsidRPr="00F41258" w:rsidRDefault="00232CB1" w:rsidP="00583FF0">
      <w:pPr>
        <w:pStyle w:val="berschrift2"/>
      </w:pPr>
      <w:bookmarkStart w:id="88" w:name="_Förderfähige_Kosten"/>
      <w:bookmarkStart w:id="89" w:name="_Toc112915695"/>
      <w:bookmarkStart w:id="90" w:name="_Toc144908010"/>
      <w:bookmarkEnd w:id="88"/>
      <w:r w:rsidRPr="00F41258">
        <w:t xml:space="preserve">Förderfähige </w:t>
      </w:r>
      <w:r w:rsidRPr="00F41258">
        <w:rPr>
          <w:spacing w:val="4"/>
        </w:rPr>
        <w:t>Kosten</w:t>
      </w:r>
      <w:bookmarkEnd w:id="89"/>
      <w:bookmarkEnd w:id="90"/>
    </w:p>
    <w:p w14:paraId="35C2DE1B" w14:textId="2CD81885" w:rsidR="00D809FD" w:rsidRPr="00F41258" w:rsidRDefault="00232CB1" w:rsidP="00583FF0">
      <w:r w:rsidRPr="00F41258">
        <w:t>Förderfähige Kosten sind die vom Antragsteller für die energetische Maßnahme tatsächlich zu tragenden Bruttokosten (einschließlich Mehrwertsteuer)</w:t>
      </w:r>
      <w:r w:rsidR="00183829" w:rsidRPr="00F41258">
        <w:t>.</w:t>
      </w:r>
      <w:r w:rsidRPr="00F41258">
        <w:t xml:space="preserve"> </w:t>
      </w:r>
      <w:r w:rsidR="00183829" w:rsidRPr="00F41258">
        <w:t>S</w:t>
      </w:r>
      <w:r w:rsidRPr="00F41258">
        <w:t xml:space="preserve">ofern für Teile des Investitionsvorhabens eine Vorsteuerabzugsberechtigung des Antragstellers besteht, können nur die Nettokosten (ohne Mehrwertsteuer) berücksichtigt werden. </w:t>
      </w:r>
      <w:bookmarkStart w:id="91" w:name="_Hlk106888007"/>
      <w:r w:rsidR="00183829" w:rsidRPr="00F41258">
        <w:t xml:space="preserve">Wird die Maßnahme nicht durch </w:t>
      </w:r>
      <w:r w:rsidR="00183829" w:rsidRPr="00F41258">
        <w:t>ein</w:t>
      </w:r>
      <w:r w:rsidR="00183829" w:rsidRPr="00F41258">
        <w:t xml:space="preserve"> Fachunternehmen durchgeführt (Eigenleistung), werden nur die direkt mit der energetischen Sanierungsmaßnahme verbundenen Materialkosten gefördert</w:t>
      </w:r>
      <w:r w:rsidR="004E789B" w:rsidRPr="00F41258">
        <w:t>, wenn ein Energieeffizienz-Experte oder ein Fachunternehmer die fachgerechte Durchführung und die korrekte Angabe der Materialkosten</w:t>
      </w:r>
      <w:r w:rsidR="004B228A" w:rsidRPr="00F41258">
        <w:t xml:space="preserve"> mit dem Verwendungsnachweis</w:t>
      </w:r>
      <w:r w:rsidR="004E789B" w:rsidRPr="00F41258">
        <w:t xml:space="preserve"> bestätigt</w:t>
      </w:r>
      <w:r w:rsidR="00183829" w:rsidRPr="00F41258">
        <w:t>.</w:t>
      </w:r>
      <w:bookmarkEnd w:id="91"/>
      <w:r w:rsidR="00183829" w:rsidRPr="00F41258">
        <w:t xml:space="preserve"> </w:t>
      </w:r>
    </w:p>
    <w:p w14:paraId="523DA8A8" w14:textId="62F97B05" w:rsidR="00232CB1" w:rsidRPr="00F41258" w:rsidRDefault="00232CB1" w:rsidP="00583FF0">
      <w:r w:rsidRPr="00F41258">
        <w:t>Förderfähige Kosten sind:</w:t>
      </w:r>
    </w:p>
    <w:p w14:paraId="227C12C5" w14:textId="77777777" w:rsidR="00232CB1" w:rsidRPr="00F41258" w:rsidRDefault="00232CB1" w:rsidP="009B6F99">
      <w:pPr>
        <w:pStyle w:val="berschrift4"/>
        <w:numPr>
          <w:ilvl w:val="0"/>
          <w:numId w:val="46"/>
        </w:numPr>
      </w:pPr>
      <w:bookmarkStart w:id="92" w:name="_Energetische_Sanierungsmaßnahmen"/>
      <w:bookmarkEnd w:id="92"/>
      <w:r w:rsidRPr="00F41258">
        <w:t>Energetische Sanierungsmaßnahmen</w:t>
      </w:r>
    </w:p>
    <w:p w14:paraId="0CE8CBF6" w14:textId="77777777" w:rsidR="00232CB1" w:rsidRPr="00F41258" w:rsidRDefault="00232CB1" w:rsidP="00583FF0">
      <w:r w:rsidRPr="00F41258">
        <w:t>Zu den förderfähigen Kosten gehören neben den direkt mit der energetischen Sanierungsmaßnahme verbundenen Materialkosten jeweils auch die Kosten für den fachgerechten Einbau bzw. die Installation, die Kosten für die Inbetriebnahme von Anlagen, sowie die Kosten der zur Durchführung der Maßnahme erforderlichen Umfeldmaßnahmen, bspw. bei der Dämmung der Außenwände auch die Kosten der Baustelleneinrichtung einschließlich der Errichtung eines Baugerüstes, oder beim Einbau einer Erdwärmepumpe bspw. auch die Kosten der Deinstallation und Entsorgung der Altanlage und der Optimierung des Heizungsverteilsystems zur Absenkung der Systemtemperatur, sowie die Erschließung der Wärmequelle und die zugehörigen Anschlussleitungen sowie deren Verlegung.</w:t>
      </w:r>
    </w:p>
    <w:p w14:paraId="59E55F47" w14:textId="77777777" w:rsidR="00232CB1" w:rsidRPr="00F41258" w:rsidRDefault="00232CB1" w:rsidP="00622573">
      <w:pPr>
        <w:pStyle w:val="berschrift4"/>
      </w:pPr>
      <w:bookmarkStart w:id="93" w:name="_Fachplanung_und_Baubegleitung"/>
      <w:bookmarkEnd w:id="93"/>
      <w:r w:rsidRPr="00F41258">
        <w:lastRenderedPageBreak/>
        <w:t>Fachplanung und Baubegleitung</w:t>
      </w:r>
    </w:p>
    <w:p w14:paraId="4F850880" w14:textId="6DB7F30A" w:rsidR="00232CB1" w:rsidRPr="00F41258" w:rsidRDefault="00232CB1" w:rsidP="00583FF0">
      <w:r w:rsidRPr="00F41258">
        <w:t xml:space="preserve">Förderfähig sind die Kosten für energetische Fachplanungs- und Baubegleitungsleistungen einschließlich einer akustischen Fachplanung von nach </w:t>
      </w:r>
      <w:hyperlink w:anchor="_Einzelmaßnahmen_an_der" w:history="1">
        <w:r w:rsidRPr="00F41258">
          <w:rPr>
            <w:rStyle w:val="Hyperlink"/>
          </w:rPr>
          <w:t>Nummern 5.1</w:t>
        </w:r>
      </w:hyperlink>
      <w:r w:rsidRPr="00F41258">
        <w:t xml:space="preserve"> bis </w:t>
      </w:r>
      <w:hyperlink w:anchor="_Heizungsoptimierung" w:history="1">
        <w:r w:rsidRPr="00F41258">
          <w:rPr>
            <w:rStyle w:val="Hyperlink"/>
          </w:rPr>
          <w:t>5.4</w:t>
        </w:r>
      </w:hyperlink>
      <w:r w:rsidRPr="00F41258">
        <w:t xml:space="preserve"> geförderten Maßnahmen, die durch den Experten der Energie</w:t>
      </w:r>
      <w:r w:rsidR="002056E7" w:rsidRPr="00F41258">
        <w:t>e</w:t>
      </w:r>
      <w:r w:rsidRPr="00F41258">
        <w:t>ffizienz-Experten-Liste dem Antragsteller in Rechnung gestellt werden, einschließlich der Kosten der Einbindung des Experten in das Förderverfahren bzw. im Fall der Beauftragung eines Dritten mit diesen Leistungen für die von diesem Dritten in Rechnung gestellten Kosten sowie die Kosten der Überprüfung dieser Leistungen durch den Energieeffizienz-Experten auf Plausibilität.</w:t>
      </w:r>
    </w:p>
    <w:p w14:paraId="3DA3EAF2" w14:textId="542613D6" w:rsidR="00232CB1" w:rsidRPr="00F41258" w:rsidRDefault="00232CB1" w:rsidP="00583FF0">
      <w:pPr>
        <w:pStyle w:val="berschrift2"/>
      </w:pPr>
      <w:bookmarkStart w:id="94" w:name="_Höchstgrenze_förderfähiger_Kosten"/>
      <w:bookmarkStart w:id="95" w:name="_Toc112915696"/>
      <w:bookmarkStart w:id="96" w:name="_Toc144908011"/>
      <w:bookmarkStart w:id="97" w:name="_Hlk113008772"/>
      <w:bookmarkEnd w:id="94"/>
      <w:r w:rsidRPr="00F41258">
        <w:t>Höchstgrenze förderfähiger Kosten</w:t>
      </w:r>
      <w:bookmarkEnd w:id="95"/>
      <w:bookmarkEnd w:id="96"/>
    </w:p>
    <w:p w14:paraId="54791496" w14:textId="3CB6CB24" w:rsidR="00232CB1" w:rsidRPr="00F41258" w:rsidRDefault="00232CB1" w:rsidP="00583FF0">
      <w:r w:rsidRPr="00F41258">
        <w:t xml:space="preserve">Die </w:t>
      </w:r>
      <w:r w:rsidR="00FF3150" w:rsidRPr="00F41258">
        <w:t>förderfähigen</w:t>
      </w:r>
      <w:r w:rsidRPr="00F41258">
        <w:t xml:space="preserve"> Kosten können im Wege der Zuschussförderung, </w:t>
      </w:r>
      <w:r w:rsidR="005F6C2D" w:rsidRPr="00F41258">
        <w:t>für Maßnahmen nach Nummer 5.1</w:t>
      </w:r>
      <w:r w:rsidR="00691121" w:rsidRPr="00F41258">
        <w:t xml:space="preserve">, 5.2, 5.4 und 5.5 </w:t>
      </w:r>
      <w:r w:rsidRPr="00F41258">
        <w:t>pro</w:t>
      </w:r>
      <w:r w:rsidR="00691121" w:rsidRPr="00F41258">
        <w:t xml:space="preserve"> Gebäude und</w:t>
      </w:r>
      <w:r w:rsidRPr="00F41258">
        <w:t xml:space="preserve"> Kalenderjahr (unabhängig von der Anzahl gestellter Anträge),</w:t>
      </w:r>
      <w:r w:rsidR="00691121" w:rsidRPr="00F41258">
        <w:t xml:space="preserve"> für Maßnahmen nach Nummer 5.3 pro Gebäude insgesamt (unabhängig von der Anzahl gestellter Anträge),</w:t>
      </w:r>
      <w:r w:rsidRPr="00F41258">
        <w:t xml:space="preserve"> bis zur Höhe der folgenden Höchstbeträge gefördert werden (Höchstgrenze)</w:t>
      </w:r>
      <w:r w:rsidR="00FF1A4A" w:rsidRPr="00F41258">
        <w:t xml:space="preserve">. </w:t>
      </w:r>
      <w:r w:rsidR="00FF1A4A" w:rsidRPr="00F41258" w:rsidDel="00622BCD">
        <w:t xml:space="preserve">Bei mehreren </w:t>
      </w:r>
      <w:r w:rsidR="001D5E3A" w:rsidRPr="00F41258">
        <w:t>Investoren</w:t>
      </w:r>
      <w:r w:rsidR="00FF1A4A" w:rsidRPr="00F41258" w:rsidDel="00622BCD">
        <w:t xml:space="preserve"> für ein Vorhaben, haben sich die </w:t>
      </w:r>
      <w:r w:rsidR="004C0CF2" w:rsidRPr="00F41258">
        <w:t>Antragsteller</w:t>
      </w:r>
      <w:r w:rsidR="00FF1A4A" w:rsidRPr="00F41258" w:rsidDel="00622BCD">
        <w:t xml:space="preserve"> vor Antragstellung über die Aufteilung der Förderhöchstbeträge zu verständigen und entsprechend die Förderung zu beantragen.</w:t>
      </w:r>
    </w:p>
    <w:p w14:paraId="4417B40E" w14:textId="53D3CB9D" w:rsidR="00232CB1" w:rsidRPr="00F41258" w:rsidRDefault="00232CB1" w:rsidP="00622573">
      <w:pPr>
        <w:pStyle w:val="berschrift3"/>
      </w:pPr>
      <w:bookmarkStart w:id="98" w:name="_Höchstgrenzen_bei_Wohngebäuden"/>
      <w:bookmarkStart w:id="99" w:name="_Toc144908012"/>
      <w:bookmarkEnd w:id="98"/>
      <w:r w:rsidRPr="00F41258">
        <w:t>Höchstgrenzen bei Wohngebäuden (WG)</w:t>
      </w:r>
      <w:bookmarkEnd w:id="99"/>
    </w:p>
    <w:p w14:paraId="5C6356B3" w14:textId="20FACF5B" w:rsidR="00232CB1" w:rsidRPr="00F41258" w:rsidRDefault="00232CB1" w:rsidP="00583FF0">
      <w:r w:rsidRPr="00F41258">
        <w:t>Die Bemessungsgrundlage für die Höchstgrenze förderfähiger Kosten ist die Anzahl der Wohneinheiten nach Sanierung. Dies gilt auch bei Umwidmung (Nutzungsänderung) von beheizten Nichtwohnflächen.</w:t>
      </w:r>
    </w:p>
    <w:p w14:paraId="1410212C" w14:textId="76C08C61" w:rsidR="009D4433" w:rsidRPr="00F41258" w:rsidRDefault="009D4433" w:rsidP="00583FF0">
      <w:r w:rsidRPr="00F41258">
        <w:t>Für Maßnahmen, die sich nicht auf das gesamte Gebäude beziehen, ist für die Höchstgrenzen der förderfähigen Kosten nur die Anzahl der Wohneinheiten maßgebend, die von der Umsetzung der Maßnahme betroffen ist.</w:t>
      </w:r>
    </w:p>
    <w:p w14:paraId="6A01F428" w14:textId="3E962326" w:rsidR="00232CB1" w:rsidRPr="00F41258" w:rsidRDefault="00232CB1" w:rsidP="009B6F99">
      <w:pPr>
        <w:pStyle w:val="berschrift4"/>
        <w:numPr>
          <w:ilvl w:val="0"/>
          <w:numId w:val="47"/>
        </w:numPr>
      </w:pPr>
      <w:r w:rsidRPr="00F41258">
        <w:t>energetische Sanierungsmaßnahmen</w:t>
      </w:r>
      <w:r w:rsidR="007C124D" w:rsidRPr="00F41258">
        <w:t xml:space="preserve"> in der Zuschussförderung</w:t>
      </w:r>
    </w:p>
    <w:p w14:paraId="73D0CFB2" w14:textId="41D2C53D" w:rsidR="00CC5BD7" w:rsidRPr="00F41258" w:rsidRDefault="00232CB1" w:rsidP="00583FF0">
      <w:r w:rsidRPr="00F41258">
        <w:t xml:space="preserve"> </w:t>
      </w:r>
      <w:r w:rsidR="00BB3873" w:rsidRPr="00F41258">
        <w:t>Die Höchstgrenze der förder</w:t>
      </w:r>
      <w:r w:rsidR="00C825D8" w:rsidRPr="00F41258">
        <w:t xml:space="preserve">fähigen Kosten bei </w:t>
      </w:r>
      <w:r w:rsidR="00CA1AB1" w:rsidRPr="00F41258">
        <w:t xml:space="preserve">Anlagen zur Wärmeerzeugung nach </w:t>
      </w:r>
      <w:hyperlink w:anchor="_Anlagen_zur_Wärmeerzeugung" w:history="1">
        <w:r w:rsidR="00CA1AB1" w:rsidRPr="00F41258">
          <w:rPr>
            <w:rStyle w:val="Hyperlink"/>
          </w:rPr>
          <w:t>Nummer 5.3</w:t>
        </w:r>
      </w:hyperlink>
      <w:r w:rsidRPr="00F41258">
        <w:t xml:space="preserve"> </w:t>
      </w:r>
      <w:r w:rsidR="00C825D8" w:rsidRPr="00F41258">
        <w:t>beträgt</w:t>
      </w:r>
      <w:r w:rsidR="00CC5BD7" w:rsidRPr="00F41258">
        <w:t>:</w:t>
      </w:r>
      <w:r w:rsidRPr="00F41258">
        <w:t xml:space="preserve"> </w:t>
      </w:r>
    </w:p>
    <w:p w14:paraId="61308412" w14:textId="7869FEAA" w:rsidR="00CC5BD7" w:rsidRPr="00F41258" w:rsidRDefault="00845036" w:rsidP="009B6F99">
      <w:pPr>
        <w:pStyle w:val="Listenabsatz"/>
        <w:numPr>
          <w:ilvl w:val="0"/>
          <w:numId w:val="41"/>
        </w:numPr>
      </w:pPr>
      <w:r w:rsidRPr="00F41258">
        <w:t>3</w:t>
      </w:r>
      <w:r w:rsidR="00232CB1" w:rsidRPr="00F41258">
        <w:t xml:space="preserve">0 000 Euro </w:t>
      </w:r>
      <w:r w:rsidR="00CA1AB1" w:rsidRPr="00F41258">
        <w:t xml:space="preserve">für die erste </w:t>
      </w:r>
      <w:r w:rsidR="00232CB1" w:rsidRPr="00F41258">
        <w:t>Wohneinheit</w:t>
      </w:r>
    </w:p>
    <w:p w14:paraId="5EA411EA" w14:textId="4340428F" w:rsidR="00CC5BD7" w:rsidRPr="00F41258" w:rsidRDefault="00CA1AB1" w:rsidP="009B6F99">
      <w:pPr>
        <w:pStyle w:val="Listenabsatz"/>
        <w:numPr>
          <w:ilvl w:val="0"/>
          <w:numId w:val="41"/>
        </w:numPr>
      </w:pPr>
      <w:r w:rsidRPr="00F41258">
        <w:t xml:space="preserve">jeweils </w:t>
      </w:r>
      <w:r w:rsidR="00D35831" w:rsidRPr="00F41258">
        <w:t>15</w:t>
      </w:r>
      <w:r w:rsidR="000B6CB0" w:rsidRPr="00F41258">
        <w:t> </w:t>
      </w:r>
      <w:r w:rsidR="00D35831" w:rsidRPr="00F41258">
        <w:t>000</w:t>
      </w:r>
      <w:r w:rsidRPr="00F41258">
        <w:t xml:space="preserve"> Euro für die zweite bis sechste Wohneinheit </w:t>
      </w:r>
    </w:p>
    <w:p w14:paraId="65FEB4C4" w14:textId="3F5B6F8D" w:rsidR="00CA1AB1" w:rsidRPr="00F41258" w:rsidRDefault="00CA1AB1" w:rsidP="009B6F99">
      <w:pPr>
        <w:pStyle w:val="Listenabsatz"/>
        <w:numPr>
          <w:ilvl w:val="0"/>
          <w:numId w:val="41"/>
        </w:numPr>
      </w:pPr>
      <w:r w:rsidRPr="00F41258">
        <w:t xml:space="preserve">jeweils </w:t>
      </w:r>
      <w:r w:rsidR="00D35831" w:rsidRPr="00F41258">
        <w:t>8</w:t>
      </w:r>
      <w:r w:rsidR="000B6CB0" w:rsidRPr="00F41258">
        <w:t> </w:t>
      </w:r>
      <w:r w:rsidR="00D35831" w:rsidRPr="00F41258">
        <w:t>000</w:t>
      </w:r>
      <w:r w:rsidRPr="00F41258">
        <w:t> Euro ab der siebten Wohneinheit.</w:t>
      </w:r>
    </w:p>
    <w:p w14:paraId="31D343CC" w14:textId="50EA0D7D" w:rsidR="00460FC6" w:rsidRPr="00F41258" w:rsidRDefault="00BB3873" w:rsidP="00460FC6">
      <w:r w:rsidRPr="00F41258">
        <w:t>Betrifft die geförderte Maßnahme nicht alle Wohneinheiten des Gebäudes (bspw. Etagenheizung),</w:t>
      </w:r>
      <w:r w:rsidR="00B955B2" w:rsidRPr="00F41258">
        <w:t xml:space="preserve"> so ist der anteilige Höchstbetrag einzuhalten, der sich auf die zu fördernden Wohneinheiten bezieht. Dabei verteilt sich der Höchstbetrag des Gebäudes auf alle Wohneinheiten im Gebäude zu gleichen Teilen. </w:t>
      </w:r>
      <w:r w:rsidRPr="00F41258">
        <w:t xml:space="preserve"> </w:t>
      </w:r>
    </w:p>
    <w:p w14:paraId="31D54EEF" w14:textId="68476122" w:rsidR="00CA1AB1" w:rsidRPr="00F41258" w:rsidRDefault="00C825D8" w:rsidP="00583FF0">
      <w:r w:rsidRPr="00F41258">
        <w:t xml:space="preserve">Die Höchstgrenze der förderfähigen Kosten </w:t>
      </w:r>
      <w:r w:rsidR="00CA1AB1" w:rsidRPr="00F41258">
        <w:t xml:space="preserve">für energetische Maßnahmen nach den </w:t>
      </w:r>
      <w:hyperlink w:anchor="_Einzelmaßnahmen_an_der" w:history="1">
        <w:r w:rsidR="00CA1AB1" w:rsidRPr="00F41258">
          <w:rPr>
            <w:rStyle w:val="Hyperlink"/>
          </w:rPr>
          <w:t>Nummer</w:t>
        </w:r>
        <w:r w:rsidR="00665220" w:rsidRPr="00F41258">
          <w:rPr>
            <w:rStyle w:val="Hyperlink"/>
          </w:rPr>
          <w:t>n</w:t>
        </w:r>
        <w:r w:rsidR="00CA1AB1" w:rsidRPr="00F41258">
          <w:rPr>
            <w:rStyle w:val="Hyperlink"/>
          </w:rPr>
          <w:t xml:space="preserve"> 5.1</w:t>
        </w:r>
      </w:hyperlink>
      <w:r w:rsidR="00CA1AB1" w:rsidRPr="00F41258">
        <w:t xml:space="preserve">, </w:t>
      </w:r>
      <w:hyperlink w:anchor="_Anlagentechnik_(außer_Heizung)" w:history="1">
        <w:r w:rsidR="00CA1AB1" w:rsidRPr="00F41258">
          <w:rPr>
            <w:rStyle w:val="Hyperlink"/>
          </w:rPr>
          <w:t>5.2</w:t>
        </w:r>
      </w:hyperlink>
      <w:r w:rsidR="00CA1AB1" w:rsidRPr="00F41258">
        <w:t xml:space="preserve"> und </w:t>
      </w:r>
      <w:hyperlink w:anchor="_Heizungsoptimierung" w:history="1">
        <w:r w:rsidR="00CA1AB1" w:rsidRPr="00F41258">
          <w:rPr>
            <w:rStyle w:val="Hyperlink"/>
          </w:rPr>
          <w:t>5.4</w:t>
        </w:r>
      </w:hyperlink>
      <w:r w:rsidR="00CA1AB1" w:rsidRPr="00F41258">
        <w:t xml:space="preserve"> </w:t>
      </w:r>
      <w:r w:rsidRPr="00F41258">
        <w:t>beträgt</w:t>
      </w:r>
      <w:r w:rsidR="00845036" w:rsidRPr="00F41258">
        <w:t xml:space="preserve"> </w:t>
      </w:r>
      <w:r w:rsidR="00E27F78" w:rsidRPr="00F41258">
        <w:t xml:space="preserve">insgesamt </w:t>
      </w:r>
      <w:r w:rsidR="00CA1AB1" w:rsidRPr="00F41258">
        <w:t xml:space="preserve">30 000 Euro </w:t>
      </w:r>
      <w:r w:rsidR="00845036" w:rsidRPr="00F41258">
        <w:t>pro</w:t>
      </w:r>
      <w:r w:rsidR="00CA1AB1" w:rsidRPr="00F41258">
        <w:t xml:space="preserve"> Wohneinheit.</w:t>
      </w:r>
      <w:r w:rsidR="00845036" w:rsidRPr="00F41258">
        <w:t xml:space="preserve"> Abweichend davon erhöht sich diese</w:t>
      </w:r>
      <w:r w:rsidRPr="00F41258">
        <w:t xml:space="preserve"> Höchstgrenze</w:t>
      </w:r>
      <w:r w:rsidR="00845036" w:rsidRPr="00F41258">
        <w:t xml:space="preserve"> auf 60 000 Euro pro Wohneinheit, wenn für die Maßnahmen der </w:t>
      </w:r>
      <w:r w:rsidR="002A4B3D" w:rsidRPr="00F41258">
        <w:t>iSFP</w:t>
      </w:r>
      <w:r w:rsidR="00845036" w:rsidRPr="00F41258">
        <w:t xml:space="preserve">-Bonus nach </w:t>
      </w:r>
      <w:r w:rsidR="00016A57" w:rsidRPr="00F41258">
        <w:t xml:space="preserve">Nummer </w:t>
      </w:r>
      <w:r w:rsidR="00016A57" w:rsidRPr="00F41258">
        <w:fldChar w:fldCharType="begin"/>
      </w:r>
      <w:r w:rsidR="00016A57" w:rsidRPr="00F41258">
        <w:instrText xml:space="preserve"> REF _Ref144913754 \r \h </w:instrText>
      </w:r>
      <w:r w:rsidR="003E4650" w:rsidRPr="00F41258">
        <w:instrText xml:space="preserve"> \* MERGEFORMAT </w:instrText>
      </w:r>
      <w:r w:rsidR="00016A57" w:rsidRPr="00F41258">
        <w:fldChar w:fldCharType="separate"/>
      </w:r>
      <w:r w:rsidR="00016A57" w:rsidRPr="00F41258">
        <w:t>8.4.2</w:t>
      </w:r>
      <w:r w:rsidR="00016A57" w:rsidRPr="00F41258">
        <w:fldChar w:fldCharType="end"/>
      </w:r>
      <w:r w:rsidR="00845036" w:rsidRPr="00F41258">
        <w:t xml:space="preserve"> gewährt wird</w:t>
      </w:r>
      <w:r w:rsidR="002A4B3D" w:rsidRPr="00F41258">
        <w:t xml:space="preserve"> oder wenn der Eigentümer des Gebäudes nach Nummer 5.2 der </w:t>
      </w:r>
      <w:bookmarkEnd w:id="97"/>
      <w:r w:rsidR="00856A80" w:rsidRPr="00F41258">
        <w:t>Richtlinie</w:t>
      </w:r>
      <w:r w:rsidR="002A4B3D" w:rsidRPr="00F41258">
        <w:t xml:space="preserve"> für die Bundesförderung für „Energieberatung für Wohngebäude (EBW)“</w:t>
      </w:r>
      <w:r w:rsidR="005C782B" w:rsidRPr="00F41258">
        <w:t xml:space="preserve"> </w:t>
      </w:r>
      <w:r w:rsidR="002A4B3D" w:rsidRPr="00F41258">
        <w:t>nicht antragsberechtigt für den iSFP ist</w:t>
      </w:r>
      <w:r w:rsidR="00845036" w:rsidRPr="00F41258">
        <w:t>.</w:t>
      </w:r>
    </w:p>
    <w:p w14:paraId="7779259E" w14:textId="653E2586" w:rsidR="00232CB1" w:rsidRPr="00F41258" w:rsidRDefault="005323C1" w:rsidP="00622573">
      <w:pPr>
        <w:pStyle w:val="berschrift4"/>
      </w:pPr>
      <w:r w:rsidRPr="00F41258">
        <w:lastRenderedPageBreak/>
        <w:t xml:space="preserve">Fachplanung und </w:t>
      </w:r>
      <w:r w:rsidR="00232CB1" w:rsidRPr="00F41258">
        <w:t>Baubegleitung</w:t>
      </w:r>
      <w:r w:rsidR="007C124D" w:rsidRPr="00F41258">
        <w:t xml:space="preserve"> in der Zuschussförderung</w:t>
      </w:r>
    </w:p>
    <w:p w14:paraId="420CB1B2" w14:textId="708BC8C8" w:rsidR="00232CB1" w:rsidRPr="00F41258" w:rsidRDefault="00232CB1" w:rsidP="00583FF0">
      <w:r w:rsidRPr="00F41258">
        <w:t xml:space="preserve">Förderfähige Kosten für die Fachplanung und Baubegleitung nach </w:t>
      </w:r>
      <w:hyperlink w:anchor="_Fachplanung_und_Baubegleitung" w:history="1">
        <w:r w:rsidRPr="00F41258">
          <w:rPr>
            <w:rStyle w:val="Hyperlink"/>
          </w:rPr>
          <w:t>Nummer 8.2 Buchstabe</w:t>
        </w:r>
        <w:r w:rsidR="009B715D" w:rsidRPr="00F41258">
          <w:rPr>
            <w:rStyle w:val="Hyperlink"/>
          </w:rPr>
          <w:t> </w:t>
        </w:r>
        <w:r w:rsidRPr="00F41258">
          <w:rPr>
            <w:rStyle w:val="Hyperlink"/>
          </w:rPr>
          <w:t>b</w:t>
        </w:r>
      </w:hyperlink>
      <w:r w:rsidRPr="00F41258">
        <w:t xml:space="preserve"> sind gedeckelt auf 5 000 Euro bei Ein- und Zweifamilienhäusern, und bei Mehrfamilienhäusern mit drei oder mehr Wohneinheiten auf 2 000 Euro pro Wohneinheit, insgesamt auf maximal 20 000 Euro. </w:t>
      </w:r>
    </w:p>
    <w:p w14:paraId="40A4D805" w14:textId="2D20865B" w:rsidR="00F8031F" w:rsidRPr="00F41258" w:rsidRDefault="00B955B2" w:rsidP="00F8031F">
      <w:pPr>
        <w:pStyle w:val="berschrift4"/>
      </w:pPr>
      <w:r w:rsidRPr="00F41258">
        <w:t>Maßnahmen in der Kreditförderung</w:t>
      </w:r>
    </w:p>
    <w:p w14:paraId="1FFA70F3" w14:textId="53CF0EE0" w:rsidR="00F8031F" w:rsidRPr="00F41258" w:rsidRDefault="00F8031F" w:rsidP="00F8031F">
      <w:r w:rsidRPr="00F41258">
        <w:t>Die Höchstgrenze der förderfähigen Kosten</w:t>
      </w:r>
      <w:r w:rsidR="00B955B2" w:rsidRPr="00F41258">
        <w:t xml:space="preserve"> für Maßnahmen nach Nummer 5.1 bis 5.5 in der Kreditförderung </w:t>
      </w:r>
      <w:r w:rsidRPr="00F41258">
        <w:t>beträgt 1</w:t>
      </w:r>
      <w:r w:rsidR="00653F2F" w:rsidRPr="00F41258">
        <w:t>2</w:t>
      </w:r>
      <w:r w:rsidRPr="00F41258">
        <w:t xml:space="preserve">0 000 Euro pro Wohneinheit. </w:t>
      </w:r>
    </w:p>
    <w:p w14:paraId="39C90B17" w14:textId="77777777" w:rsidR="00F8031F" w:rsidRPr="00F41258" w:rsidRDefault="00F8031F" w:rsidP="00F8031F"/>
    <w:p w14:paraId="7C09D500" w14:textId="3DA29804" w:rsidR="00232CB1" w:rsidRPr="00F41258" w:rsidRDefault="00232CB1" w:rsidP="00622573">
      <w:pPr>
        <w:pStyle w:val="berschrift3"/>
      </w:pPr>
      <w:bookmarkStart w:id="100" w:name="_Höchstgrenzen_bei_Nichtwohngebäuden"/>
      <w:bookmarkStart w:id="101" w:name="_Toc144908013"/>
      <w:bookmarkEnd w:id="100"/>
      <w:r w:rsidRPr="00F41258">
        <w:t xml:space="preserve">Höchstgrenzen </w:t>
      </w:r>
      <w:r w:rsidR="00912E06" w:rsidRPr="00F41258">
        <w:t xml:space="preserve">des Investitionszuschusses </w:t>
      </w:r>
      <w:r w:rsidRPr="00F41258">
        <w:t>bei Nichtwohngebäuden (NWG)</w:t>
      </w:r>
      <w:bookmarkEnd w:id="101"/>
    </w:p>
    <w:p w14:paraId="032F4CB5" w14:textId="02B349E0" w:rsidR="00280F7F" w:rsidRPr="00F41258" w:rsidDel="00622BCD" w:rsidRDefault="00196817" w:rsidP="00280F7F">
      <w:r w:rsidRPr="00F41258">
        <w:t>Die Bemessungsgrundlage für die Höchstgrenze förderfähiger Kosten ist die Nettogrundfläche nach Sanierung. Dies gilt auch bei Umwidmung (Nutzungsänderung) von beheizten Flächen.</w:t>
      </w:r>
      <w:r w:rsidR="00280F7F" w:rsidRPr="00F41258" w:rsidDel="00622BCD">
        <w:t xml:space="preserve"> </w:t>
      </w:r>
    </w:p>
    <w:p w14:paraId="489E79CB" w14:textId="6525CEE3" w:rsidR="00280F7F" w:rsidRPr="00F41258" w:rsidRDefault="00280F7F" w:rsidP="00280F7F">
      <w:r w:rsidRPr="00F41258">
        <w:t>Für Maßnahmen, die sich nicht auf das gesamte Gebäude beziehen, ist für die Höchstgrenzen der förderfähigen Kosten nur der Teil der Nettogrundfläche maßgebend, der von der Umsetzung der Maßnahme betroffen ist.</w:t>
      </w:r>
    </w:p>
    <w:p w14:paraId="770DB717" w14:textId="6BCFA2F3" w:rsidR="00196817" w:rsidRPr="00F41258" w:rsidRDefault="00196817" w:rsidP="00583FF0"/>
    <w:p w14:paraId="203D4AF3" w14:textId="77777777" w:rsidR="00232CB1" w:rsidRPr="00F41258" w:rsidRDefault="00232CB1" w:rsidP="009B6F99">
      <w:pPr>
        <w:pStyle w:val="Listenabsatz"/>
        <w:numPr>
          <w:ilvl w:val="0"/>
          <w:numId w:val="3"/>
        </w:numPr>
        <w:rPr>
          <w:b/>
        </w:rPr>
      </w:pPr>
      <w:r w:rsidRPr="00F41258">
        <w:rPr>
          <w:b/>
        </w:rPr>
        <w:t>energetische Sanierungsmaßnahmen</w:t>
      </w:r>
    </w:p>
    <w:p w14:paraId="17FE6C23" w14:textId="21ECAAF5" w:rsidR="00CC5BD7" w:rsidRPr="00F41258" w:rsidRDefault="00912E06" w:rsidP="00CC5BD7">
      <w:bookmarkStart w:id="102" w:name="_Hlk83282254"/>
      <w:r w:rsidRPr="00F41258">
        <w:t xml:space="preserve">Die Höchstgrenze der förderfähigen Kosten bei </w:t>
      </w:r>
      <w:r w:rsidR="00845036" w:rsidRPr="00F41258">
        <w:t>Anlagen zur Wärmeerzeugung</w:t>
      </w:r>
      <w:r w:rsidR="00232CB1" w:rsidRPr="00F41258">
        <w:t xml:space="preserve"> nach </w:t>
      </w:r>
      <w:hyperlink w:anchor="_Anlagen_zur_Wärmeerzeugung" w:history="1">
        <w:r w:rsidR="00845036" w:rsidRPr="00F41258">
          <w:rPr>
            <w:rStyle w:val="Hyperlink"/>
          </w:rPr>
          <w:t>Nummer 5.3</w:t>
        </w:r>
      </w:hyperlink>
      <w:r w:rsidR="00845036" w:rsidRPr="00F41258">
        <w:t xml:space="preserve"> </w:t>
      </w:r>
      <w:r w:rsidRPr="00F41258">
        <w:t>beträgt</w:t>
      </w:r>
      <w:r w:rsidR="00CC5BD7" w:rsidRPr="00F41258">
        <w:t xml:space="preserve"> 30</w:t>
      </w:r>
      <w:r w:rsidR="00232CB1" w:rsidRPr="00F41258">
        <w:t xml:space="preserve"> 000 Euro </w:t>
      </w:r>
      <w:r w:rsidR="00CC5BD7" w:rsidRPr="00F41258">
        <w:t xml:space="preserve">für Gebäude bis </w:t>
      </w:r>
      <w:r w:rsidR="002B7695" w:rsidRPr="00F41258">
        <w:t>150</w:t>
      </w:r>
      <w:r w:rsidR="00CC5BD7" w:rsidRPr="00F41258">
        <w:t xml:space="preserve"> Quadratmeter Nettogrundfläche. Für Gebäude größer </w:t>
      </w:r>
      <w:r w:rsidR="00016A57" w:rsidRPr="00F41258">
        <w:t>15</w:t>
      </w:r>
      <w:r w:rsidR="00CC5BD7" w:rsidRPr="00F41258">
        <w:t xml:space="preserve">0 Quadratmeter Nettogrundfläche gilt folgende gestaffelte </w:t>
      </w:r>
      <w:r w:rsidRPr="00F41258">
        <w:t>Höchstgrenze</w:t>
      </w:r>
      <w:r w:rsidR="00CC5BD7" w:rsidRPr="00F41258">
        <w:t xml:space="preserve"> der förderfähigen Kosten:</w:t>
      </w:r>
    </w:p>
    <w:p w14:paraId="445A2105" w14:textId="2CF61227" w:rsidR="00CC5BD7" w:rsidRPr="00F41258" w:rsidRDefault="00CC5BD7" w:rsidP="009B6F99">
      <w:pPr>
        <w:pStyle w:val="Listenabsatz"/>
        <w:numPr>
          <w:ilvl w:val="0"/>
          <w:numId w:val="42"/>
        </w:numPr>
      </w:pPr>
      <w:r w:rsidRPr="00F41258">
        <w:t xml:space="preserve">bis 400 Quadratmeter Nettogrundfläche </w:t>
      </w:r>
      <w:r w:rsidR="00D35831" w:rsidRPr="00F41258">
        <w:t>200</w:t>
      </w:r>
      <w:r w:rsidRPr="00F41258">
        <w:t xml:space="preserve"> Euro </w:t>
      </w:r>
      <w:r w:rsidR="00232CB1" w:rsidRPr="00F41258">
        <w:t xml:space="preserve">pro Quadratmeter Nettogrundfläche </w:t>
      </w:r>
    </w:p>
    <w:p w14:paraId="50B193F5" w14:textId="0F673360" w:rsidR="00CC5BD7" w:rsidRPr="00F41258" w:rsidRDefault="00CC5BD7" w:rsidP="009B6F99">
      <w:pPr>
        <w:pStyle w:val="Listenabsatz"/>
        <w:numPr>
          <w:ilvl w:val="0"/>
          <w:numId w:val="42"/>
        </w:numPr>
      </w:pPr>
      <w:r w:rsidRPr="00F41258">
        <w:t>für</w:t>
      </w:r>
      <w:r w:rsidR="007C124D" w:rsidRPr="00F41258">
        <w:t xml:space="preserve"> größer</w:t>
      </w:r>
      <w:r w:rsidRPr="00F41258">
        <w:t xml:space="preserve"> 40</w:t>
      </w:r>
      <w:r w:rsidR="007C124D" w:rsidRPr="00F41258">
        <w:t>0</w:t>
      </w:r>
      <w:r w:rsidRPr="00F41258">
        <w:t xml:space="preserve"> bis </w:t>
      </w:r>
      <w:r w:rsidR="006D3E84" w:rsidRPr="00F41258">
        <w:t>1</w:t>
      </w:r>
      <w:r w:rsidRPr="00F41258">
        <w:t xml:space="preserve">000 Quadratmeter Nettogrundfläche zusätzlich </w:t>
      </w:r>
      <w:r w:rsidR="00D35831" w:rsidRPr="00F41258">
        <w:t>12</w:t>
      </w:r>
      <w:r w:rsidR="00E56C8C" w:rsidRPr="00F41258">
        <w:t>0</w:t>
      </w:r>
      <w:r w:rsidRPr="00F41258">
        <w:t xml:space="preserve"> Euro pro Quadratmeter Nettogrundfläche</w:t>
      </w:r>
    </w:p>
    <w:p w14:paraId="4786015C" w14:textId="052AB076" w:rsidR="00CC5BD7" w:rsidRPr="00F41258" w:rsidRDefault="00CC5BD7" w:rsidP="009B6F99">
      <w:pPr>
        <w:pStyle w:val="Listenabsatz"/>
        <w:numPr>
          <w:ilvl w:val="0"/>
          <w:numId w:val="42"/>
        </w:numPr>
      </w:pPr>
      <w:r w:rsidRPr="00F41258">
        <w:t>ab</w:t>
      </w:r>
      <w:r w:rsidR="007C124D" w:rsidRPr="00F41258">
        <w:t xml:space="preserve"> größer</w:t>
      </w:r>
      <w:r w:rsidRPr="00F41258">
        <w:t xml:space="preserve"> </w:t>
      </w:r>
      <w:r w:rsidR="006D3E84" w:rsidRPr="00F41258">
        <w:t>1</w:t>
      </w:r>
      <w:r w:rsidRPr="00F41258">
        <w:t>00</w:t>
      </w:r>
      <w:r w:rsidR="007C124D" w:rsidRPr="00F41258">
        <w:t>0</w:t>
      </w:r>
      <w:r w:rsidRPr="00F41258">
        <w:t xml:space="preserve"> Quadratmeter Nettogrundfläche zusätzlich</w:t>
      </w:r>
      <w:r w:rsidR="00E56C8C" w:rsidRPr="00F41258">
        <w:t xml:space="preserve"> 80</w:t>
      </w:r>
      <w:r w:rsidRPr="00F41258">
        <w:t xml:space="preserve"> Euro pro Quadratmeter Nettogrundfläche </w:t>
      </w:r>
    </w:p>
    <w:p w14:paraId="51E911D4" w14:textId="0A4B2909" w:rsidR="00CC5BD7" w:rsidRPr="00F41258" w:rsidRDefault="00CC5BD7" w:rsidP="00583FF0"/>
    <w:p w14:paraId="6D4879C8" w14:textId="614F45ED" w:rsidR="00912E06" w:rsidRPr="00F41258" w:rsidRDefault="00912E06" w:rsidP="00583FF0">
      <w:r w:rsidRPr="00F41258">
        <w:t>Betrifft die geförderte Maßnahme nicht die gesamte Gebäudefläche (bspw. Teilheizung), so wird als Höchstgrenze der Anteil angesetzt, der dem Anteil der betroffenen Nettogrundfläche an der gesamten Nettogrundfläche entspricht.</w:t>
      </w:r>
    </w:p>
    <w:p w14:paraId="6A71201F" w14:textId="5C665E9E" w:rsidR="00232CB1" w:rsidRPr="00F41258" w:rsidRDefault="00912E06" w:rsidP="00583FF0">
      <w:r w:rsidRPr="00F41258">
        <w:t xml:space="preserve">Die Höchstgrenze der förderfähigen Kosten </w:t>
      </w:r>
      <w:r w:rsidR="00037E70" w:rsidRPr="00F41258">
        <w:t xml:space="preserve">für energetische Maßnahmen nach den </w:t>
      </w:r>
      <w:hyperlink w:anchor="_Einzelmaßnahmen_an_der" w:history="1">
        <w:r w:rsidR="00037E70" w:rsidRPr="00F41258">
          <w:rPr>
            <w:rStyle w:val="Hyperlink"/>
          </w:rPr>
          <w:t>Nummer 5.1</w:t>
        </w:r>
      </w:hyperlink>
      <w:r w:rsidR="00037E70" w:rsidRPr="00F41258">
        <w:t xml:space="preserve">, </w:t>
      </w:r>
      <w:hyperlink w:anchor="_Anlagentechnik_(außer_Heizung)" w:history="1">
        <w:r w:rsidR="00037E70" w:rsidRPr="00F41258">
          <w:rPr>
            <w:rStyle w:val="Hyperlink"/>
          </w:rPr>
          <w:t>5.2</w:t>
        </w:r>
      </w:hyperlink>
      <w:r w:rsidR="00037E70" w:rsidRPr="00F41258">
        <w:t xml:space="preserve"> und </w:t>
      </w:r>
      <w:hyperlink w:anchor="_Heizungsoptimierung" w:history="1">
        <w:r w:rsidR="00037E70" w:rsidRPr="00F41258">
          <w:rPr>
            <w:rStyle w:val="Hyperlink"/>
          </w:rPr>
          <w:t>5.4</w:t>
        </w:r>
      </w:hyperlink>
      <w:r w:rsidR="00037E70" w:rsidRPr="00F41258">
        <w:t xml:space="preserve"> </w:t>
      </w:r>
      <w:r w:rsidRPr="00F41258">
        <w:t>beträgt</w:t>
      </w:r>
      <w:r w:rsidR="00037E70" w:rsidRPr="00F41258">
        <w:t xml:space="preserve"> insgesamt 500 Euro pro Quadratmeter Nettogrundfläche, </w:t>
      </w:r>
      <w:r w:rsidR="00232CB1" w:rsidRPr="00F41258">
        <w:t>(im thermisch konditionierten Gebäudevolumen, nach § 3 Absatz 1 Nummer 22 GEG</w:t>
      </w:r>
      <w:r w:rsidR="00037E70" w:rsidRPr="00F41258">
        <w:t xml:space="preserve">). </w:t>
      </w:r>
    </w:p>
    <w:bookmarkEnd w:id="102"/>
    <w:p w14:paraId="10EA28EB" w14:textId="77777777" w:rsidR="00232CB1" w:rsidRPr="00F41258" w:rsidRDefault="00232CB1" w:rsidP="009B6F99">
      <w:pPr>
        <w:pStyle w:val="Listenabsatz"/>
        <w:numPr>
          <w:ilvl w:val="0"/>
          <w:numId w:val="3"/>
        </w:numPr>
        <w:rPr>
          <w:b/>
        </w:rPr>
      </w:pPr>
      <w:r w:rsidRPr="00F41258">
        <w:rPr>
          <w:b/>
        </w:rPr>
        <w:t>Baubegleitung</w:t>
      </w:r>
    </w:p>
    <w:p w14:paraId="1B0B59F8" w14:textId="251C7FEE" w:rsidR="00232CB1" w:rsidRPr="00F41258" w:rsidRDefault="00232CB1" w:rsidP="00BC40BF">
      <w:r w:rsidRPr="00F41258">
        <w:t xml:space="preserve">Förderfähige Kosten für die Fachplanung und Baubegleitung nach </w:t>
      </w:r>
      <w:hyperlink w:anchor="_Fachplanung_und_Baubegleitung" w:history="1">
        <w:r w:rsidRPr="00F41258">
          <w:rPr>
            <w:rStyle w:val="Hyperlink"/>
          </w:rPr>
          <w:t>Nummer 8.2 Buchstabe b</w:t>
        </w:r>
      </w:hyperlink>
      <w:r w:rsidRPr="00F41258">
        <w:t xml:space="preserve"> sind gedeckelt auf 5 Euro pro Quadratmeter Nettogrundfläche, insgesamt auf maximal 20 000 Euro.</w:t>
      </w:r>
    </w:p>
    <w:p w14:paraId="1C7D8FAF" w14:textId="77777777" w:rsidR="00F63D8A" w:rsidRPr="00F41258" w:rsidRDefault="00F63D8A" w:rsidP="00981451"/>
    <w:p w14:paraId="42648D1E" w14:textId="7F7B30F7" w:rsidR="00232CB1" w:rsidRPr="00F41258" w:rsidRDefault="003E5774" w:rsidP="00583FF0">
      <w:pPr>
        <w:pStyle w:val="berschrift2"/>
      </w:pPr>
      <w:bookmarkStart w:id="103" w:name="_Toc112915697"/>
      <w:bookmarkStart w:id="104" w:name="_Toc144908014"/>
      <w:r w:rsidRPr="00F41258">
        <w:lastRenderedPageBreak/>
        <w:t>Fördersätze</w:t>
      </w:r>
      <w:bookmarkEnd w:id="103"/>
      <w:r w:rsidR="001E6870" w:rsidRPr="00F41258">
        <w:t xml:space="preserve"> des Investitionszuschusses</w:t>
      </w:r>
      <w:bookmarkEnd w:id="104"/>
    </w:p>
    <w:p w14:paraId="6073590A" w14:textId="34127116" w:rsidR="00D13F08" w:rsidRPr="00F41258" w:rsidRDefault="00D13F08" w:rsidP="00410935">
      <w:r w:rsidRPr="00F41258">
        <w:t xml:space="preserve">Der Zuschuss wird gewährt als Anteilfinanzierung durch einen nicht rückzahlbaren Investitionszuschuss in Höhe des jeweiligen Fördersatzes unter Bezugnahme auf die für diesen Fördersatz jeweils relevanten förderfähigen Kosten. Werden verschiedene Einzelmaßnahmen mit unterschiedlichen Fördersätzen umgesetzt (z. B. Austausch der Heizung und Maßnahmen an der Gebäudehülle), müssen daher den unterschiedlichen Fördersätzen die jeweils relevanten Kosten zugeordnet werden. Die maximale Höhe der Förderung ist dabei insgesamt begrenzt durch die Höchstgrenze der förderfähigen Kosten nach </w:t>
      </w:r>
      <w:hyperlink w:anchor="_Höchstgrenze_förderfähiger_Kosten" w:history="1">
        <w:r w:rsidRPr="00F41258">
          <w:rPr>
            <w:rStyle w:val="Hyperlink"/>
          </w:rPr>
          <w:t>Nummer 8.3</w:t>
        </w:r>
      </w:hyperlink>
      <w:r w:rsidRPr="00F41258">
        <w:t>.</w:t>
      </w:r>
    </w:p>
    <w:p w14:paraId="11476BB8" w14:textId="42892E7C" w:rsidR="00232CB1" w:rsidRPr="00F41258" w:rsidRDefault="00232CB1" w:rsidP="00622573">
      <w:pPr>
        <w:pStyle w:val="berschrift3"/>
      </w:pPr>
      <w:bookmarkStart w:id="105" w:name="_Fördersätze_EinzelmaßnahmeGrundförd"/>
      <w:bookmarkStart w:id="106" w:name="_Toc144908015"/>
      <w:bookmarkEnd w:id="105"/>
      <w:r w:rsidRPr="00F41258">
        <w:t>Fördersätze Einzelmaßnahme</w:t>
      </w:r>
      <w:bookmarkEnd w:id="106"/>
    </w:p>
    <w:p w14:paraId="0A8BE624" w14:textId="6AD30609" w:rsidR="00404FBD" w:rsidRPr="00F41258" w:rsidRDefault="00232CB1" w:rsidP="00583FF0">
      <w:r w:rsidRPr="00F41258">
        <w:t>Die Höhe des Zuschusses bemisst sich nach einem Prozentsatz der für die jeweilige Einzelmaßnahme einschließlich der erforderlichen Umfeldmaßnahmen insgesamt entstandenen förderfähigen Kosten. Im Einzelnen gelten die nachfolgend genannten Prozentsätze</w:t>
      </w:r>
      <w:r w:rsidR="00555F1B" w:rsidRPr="00F41258">
        <w:t xml:space="preserve"> mit einer Kumulierungsobergrenze von 70 %</w:t>
      </w:r>
      <w:r w:rsidR="00404FBD" w:rsidRPr="00F41258">
        <w:t>.</w:t>
      </w:r>
      <w:r w:rsidR="00555F1B" w:rsidRPr="00F41258">
        <w:t xml:space="preserve"> </w:t>
      </w:r>
    </w:p>
    <w:p w14:paraId="7BFC2192" w14:textId="1A61D8B3" w:rsidR="00232CB1" w:rsidRPr="00F41258" w:rsidRDefault="00232CB1" w:rsidP="00583FF0"/>
    <w:tbl>
      <w:tblPr>
        <w:tblW w:w="9078" w:type="dxa"/>
        <w:tblLayout w:type="fixed"/>
        <w:tblCellMar>
          <w:left w:w="70" w:type="dxa"/>
          <w:right w:w="70" w:type="dxa"/>
        </w:tblCellMar>
        <w:tblLook w:val="04A0" w:firstRow="1" w:lastRow="0" w:firstColumn="1" w:lastColumn="0" w:noHBand="0" w:noVBand="1"/>
      </w:tblPr>
      <w:tblGrid>
        <w:gridCol w:w="2694"/>
        <w:gridCol w:w="1276"/>
        <w:gridCol w:w="1277"/>
        <w:gridCol w:w="1276"/>
        <w:gridCol w:w="1277"/>
        <w:gridCol w:w="1278"/>
      </w:tblGrid>
      <w:tr w:rsidR="00123B40" w:rsidRPr="00F41258" w14:paraId="309739C1" w14:textId="35710C7E" w:rsidTr="00E327CF">
        <w:trPr>
          <w:trHeight w:val="300"/>
        </w:trPr>
        <w:tc>
          <w:tcPr>
            <w:tcW w:w="2694" w:type="dxa"/>
            <w:tcBorders>
              <w:top w:val="nil"/>
              <w:left w:val="nil"/>
              <w:bottom w:val="nil"/>
            </w:tcBorders>
            <w:shd w:val="clear" w:color="auto" w:fill="auto"/>
            <w:noWrap/>
            <w:vAlign w:val="bottom"/>
            <w:hideMark/>
          </w:tcPr>
          <w:p w14:paraId="6C9BCF28" w14:textId="77777777" w:rsidR="00123B40" w:rsidRPr="00F41258" w:rsidRDefault="00123B40" w:rsidP="001F3E4E">
            <w:pPr>
              <w:pBdr>
                <w:top w:val="none" w:sz="0" w:space="0" w:color="auto"/>
                <w:left w:val="none" w:sz="0" w:space="0" w:color="auto"/>
                <w:bottom w:val="none" w:sz="0" w:space="0" w:color="auto"/>
                <w:right w:val="none" w:sz="0" w:space="0" w:color="auto"/>
                <w:between w:val="none" w:sz="0" w:space="0" w:color="auto"/>
              </w:pBdr>
              <w:spacing w:before="0"/>
              <w:jc w:val="left"/>
              <w:rPr>
                <w:rFonts w:eastAsia="Times New Roman"/>
                <w:spacing w:val="0"/>
                <w:sz w:val="24"/>
                <w:szCs w:val="24"/>
                <w:lang w:eastAsia="zh-CN"/>
              </w:rPr>
            </w:pPr>
          </w:p>
        </w:tc>
        <w:tc>
          <w:tcPr>
            <w:tcW w:w="1276" w:type="dxa"/>
            <w:tcBorders>
              <w:bottom w:val="nil"/>
              <w:right w:val="single" w:sz="4" w:space="0" w:color="auto"/>
            </w:tcBorders>
            <w:shd w:val="clear" w:color="auto" w:fill="auto"/>
            <w:noWrap/>
            <w:vAlign w:val="center"/>
          </w:tcPr>
          <w:p w14:paraId="3067267F" w14:textId="2BE6DE91" w:rsidR="00123B40" w:rsidRPr="00F41258" w:rsidRDefault="00123B40" w:rsidP="001F3E4E">
            <w:pPr>
              <w:pBdr>
                <w:top w:val="none" w:sz="0" w:space="0" w:color="auto"/>
                <w:left w:val="none" w:sz="0" w:space="0" w:color="auto"/>
                <w:bottom w:val="none" w:sz="0" w:space="0" w:color="auto"/>
                <w:right w:val="none" w:sz="0" w:space="0" w:color="auto"/>
                <w:between w:val="none" w:sz="0" w:space="0" w:color="auto"/>
              </w:pBdr>
              <w:spacing w:before="0"/>
              <w:jc w:val="center"/>
              <w:rPr>
                <w:rFonts w:eastAsia="Times New Roman"/>
                <w:b/>
                <w:bCs/>
                <w:color w:val="000000"/>
                <w:spacing w:val="0"/>
                <w:lang w:eastAsia="zh-CN"/>
              </w:rPr>
            </w:pPr>
          </w:p>
        </w:tc>
        <w:tc>
          <w:tcPr>
            <w:tcW w:w="5108"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4CF9167D" w14:textId="483C8AE5" w:rsidR="00123B40" w:rsidRPr="00F41258" w:rsidRDefault="00123B40" w:rsidP="001F3E4E">
            <w:pPr>
              <w:pBdr>
                <w:top w:val="none" w:sz="0" w:space="0" w:color="auto"/>
                <w:left w:val="none" w:sz="0" w:space="0" w:color="auto"/>
                <w:bottom w:val="none" w:sz="0" w:space="0" w:color="auto"/>
                <w:right w:val="none" w:sz="0" w:space="0" w:color="auto"/>
                <w:between w:val="none" w:sz="0" w:space="0" w:color="auto"/>
              </w:pBdr>
              <w:spacing w:before="0"/>
              <w:jc w:val="center"/>
              <w:rPr>
                <w:rFonts w:eastAsia="Times New Roman"/>
                <w:b/>
                <w:bCs/>
                <w:color w:val="000000"/>
                <w:spacing w:val="0"/>
                <w:lang w:eastAsia="zh-CN"/>
              </w:rPr>
            </w:pPr>
            <w:r w:rsidRPr="00F41258">
              <w:rPr>
                <w:rFonts w:eastAsia="Times New Roman"/>
                <w:b/>
                <w:bCs/>
                <w:color w:val="000000"/>
                <w:spacing w:val="0"/>
                <w:lang w:eastAsia="zh-CN"/>
              </w:rPr>
              <w:t>Boni (</w:t>
            </w:r>
            <w:proofErr w:type="spellStart"/>
            <w:r w:rsidRPr="00F41258">
              <w:rPr>
                <w:rFonts w:eastAsia="Times New Roman"/>
                <w:b/>
                <w:bCs/>
                <w:color w:val="000000"/>
                <w:spacing w:val="0"/>
                <w:lang w:eastAsia="zh-CN"/>
              </w:rPr>
              <w:t>kumulierbar</w:t>
            </w:r>
            <w:proofErr w:type="spellEnd"/>
            <w:r w:rsidRPr="00F41258">
              <w:rPr>
                <w:rFonts w:eastAsia="Times New Roman"/>
                <w:b/>
                <w:bCs/>
                <w:color w:val="000000"/>
                <w:spacing w:val="0"/>
                <w:lang w:eastAsia="zh-CN"/>
              </w:rPr>
              <w:t xml:space="preserve"> bis max. 70%)</w:t>
            </w:r>
          </w:p>
        </w:tc>
      </w:tr>
      <w:tr w:rsidR="008B6755" w:rsidRPr="00F41258" w14:paraId="7EAE20EC" w14:textId="126BA6A1" w:rsidTr="00E327CF">
        <w:trPr>
          <w:trHeight w:val="585"/>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8F7FC0" w14:textId="09855EB8" w:rsidR="00123B40" w:rsidRPr="00F41258" w:rsidRDefault="00123B40" w:rsidP="001F3E4E">
            <w:pPr>
              <w:pBdr>
                <w:top w:val="none" w:sz="0" w:space="0" w:color="auto"/>
                <w:left w:val="none" w:sz="0" w:space="0" w:color="auto"/>
                <w:bottom w:val="none" w:sz="0" w:space="0" w:color="auto"/>
                <w:right w:val="none" w:sz="0" w:space="0" w:color="auto"/>
                <w:between w:val="none" w:sz="0" w:space="0" w:color="auto"/>
              </w:pBdr>
              <w:spacing w:before="0"/>
              <w:jc w:val="left"/>
              <w:rPr>
                <w:rFonts w:eastAsia="Times New Roman"/>
                <w:b/>
                <w:bCs/>
                <w:color w:val="000000"/>
                <w:spacing w:val="0"/>
                <w:lang w:eastAsia="zh-CN"/>
              </w:rPr>
            </w:pPr>
            <w:r w:rsidRPr="00F41258">
              <w:rPr>
                <w:rFonts w:eastAsia="Times New Roman"/>
                <w:b/>
                <w:bCs/>
                <w:color w:val="000000"/>
                <w:spacing w:val="0"/>
                <w:lang w:eastAsia="zh-CN"/>
              </w:rPr>
              <w:t>Einzelmaßnahmen</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024BA6D" w14:textId="74BAC66E" w:rsidR="00123B40" w:rsidRPr="00F41258" w:rsidRDefault="007E67F2" w:rsidP="001F3E4E">
            <w:pPr>
              <w:pBdr>
                <w:top w:val="none" w:sz="0" w:space="0" w:color="auto"/>
                <w:left w:val="none" w:sz="0" w:space="0" w:color="auto"/>
                <w:bottom w:val="none" w:sz="0" w:space="0" w:color="auto"/>
                <w:right w:val="none" w:sz="0" w:space="0" w:color="auto"/>
                <w:between w:val="none" w:sz="0" w:space="0" w:color="auto"/>
              </w:pBdr>
              <w:spacing w:before="0"/>
              <w:jc w:val="center"/>
              <w:rPr>
                <w:rFonts w:eastAsia="Times New Roman"/>
                <w:b/>
                <w:bCs/>
                <w:color w:val="000000"/>
                <w:spacing w:val="0"/>
                <w:lang w:eastAsia="zh-CN"/>
              </w:rPr>
            </w:pPr>
            <w:r w:rsidRPr="00F41258">
              <w:rPr>
                <w:rFonts w:eastAsia="Times New Roman"/>
                <w:b/>
                <w:bCs/>
                <w:color w:val="000000"/>
                <w:spacing w:val="0"/>
                <w:lang w:eastAsia="zh-CN"/>
              </w:rPr>
              <w:t>Zuschuss</w:t>
            </w:r>
          </w:p>
        </w:tc>
        <w:tc>
          <w:tcPr>
            <w:tcW w:w="1277" w:type="dxa"/>
            <w:tcBorders>
              <w:top w:val="nil"/>
              <w:left w:val="nil"/>
              <w:bottom w:val="single" w:sz="4" w:space="0" w:color="auto"/>
              <w:right w:val="single" w:sz="4" w:space="0" w:color="auto"/>
            </w:tcBorders>
            <w:shd w:val="clear" w:color="auto" w:fill="auto"/>
            <w:vAlign w:val="center"/>
            <w:hideMark/>
          </w:tcPr>
          <w:p w14:paraId="1C109AA0" w14:textId="109352C9" w:rsidR="00123B40" w:rsidRPr="00F41258" w:rsidRDefault="00123B40" w:rsidP="001F3E4E">
            <w:pPr>
              <w:pBdr>
                <w:top w:val="none" w:sz="0" w:space="0" w:color="auto"/>
                <w:left w:val="none" w:sz="0" w:space="0" w:color="auto"/>
                <w:bottom w:val="none" w:sz="0" w:space="0" w:color="auto"/>
                <w:right w:val="none" w:sz="0" w:space="0" w:color="auto"/>
                <w:between w:val="none" w:sz="0" w:space="0" w:color="auto"/>
              </w:pBdr>
              <w:spacing w:before="0"/>
              <w:jc w:val="center"/>
              <w:rPr>
                <w:rFonts w:eastAsia="Times New Roman"/>
                <w:b/>
                <w:bCs/>
                <w:color w:val="000000"/>
                <w:spacing w:val="0"/>
                <w:lang w:eastAsia="zh-CN"/>
              </w:rPr>
            </w:pPr>
            <w:r w:rsidRPr="00F41258">
              <w:rPr>
                <w:rFonts w:eastAsia="Times New Roman"/>
                <w:b/>
                <w:bCs/>
                <w:color w:val="000000"/>
                <w:spacing w:val="0"/>
                <w:lang w:eastAsia="zh-CN"/>
              </w:rPr>
              <w:t>iSFP</w:t>
            </w:r>
            <w:r w:rsidR="00B276F5" w:rsidRPr="00F41258">
              <w:rPr>
                <w:rFonts w:eastAsia="Times New Roman"/>
                <w:b/>
                <w:bCs/>
                <w:color w:val="000000"/>
                <w:spacing w:val="0"/>
                <w:lang w:eastAsia="zh-CN"/>
              </w:rPr>
              <w:t>-Bonus</w:t>
            </w:r>
          </w:p>
        </w:tc>
        <w:tc>
          <w:tcPr>
            <w:tcW w:w="1276" w:type="dxa"/>
            <w:tcBorders>
              <w:top w:val="nil"/>
              <w:left w:val="nil"/>
              <w:bottom w:val="single" w:sz="4" w:space="0" w:color="auto"/>
              <w:right w:val="single" w:sz="4" w:space="0" w:color="auto"/>
            </w:tcBorders>
            <w:shd w:val="clear" w:color="auto" w:fill="auto"/>
            <w:vAlign w:val="center"/>
          </w:tcPr>
          <w:p w14:paraId="4408BA5A" w14:textId="181402B5" w:rsidR="00123B40" w:rsidRPr="00F41258" w:rsidRDefault="00725F49" w:rsidP="001F3E4E">
            <w:pPr>
              <w:pBdr>
                <w:top w:val="none" w:sz="0" w:space="0" w:color="auto"/>
                <w:left w:val="none" w:sz="0" w:space="0" w:color="auto"/>
                <w:bottom w:val="none" w:sz="0" w:space="0" w:color="auto"/>
                <w:right w:val="none" w:sz="0" w:space="0" w:color="auto"/>
                <w:between w:val="none" w:sz="0" w:space="0" w:color="auto"/>
              </w:pBdr>
              <w:spacing w:before="0"/>
              <w:jc w:val="center"/>
              <w:rPr>
                <w:rFonts w:eastAsia="Times New Roman"/>
                <w:b/>
                <w:bCs/>
                <w:color w:val="000000"/>
                <w:spacing w:val="0"/>
                <w:lang w:eastAsia="zh-CN"/>
              </w:rPr>
            </w:pPr>
            <w:r w:rsidRPr="00F41258">
              <w:rPr>
                <w:rFonts w:eastAsia="Times New Roman"/>
                <w:b/>
                <w:bCs/>
                <w:color w:val="000000"/>
                <w:spacing w:val="0"/>
                <w:lang w:eastAsia="zh-CN"/>
              </w:rPr>
              <w:t>Effizienz</w:t>
            </w:r>
            <w:r w:rsidR="008014A7" w:rsidRPr="00F41258">
              <w:rPr>
                <w:rFonts w:eastAsia="Times New Roman"/>
                <w:b/>
                <w:bCs/>
                <w:color w:val="000000"/>
                <w:spacing w:val="0"/>
                <w:lang w:eastAsia="zh-CN"/>
              </w:rPr>
              <w:t>-Bonus</w:t>
            </w:r>
          </w:p>
        </w:tc>
        <w:tc>
          <w:tcPr>
            <w:tcW w:w="1277" w:type="dxa"/>
            <w:tcBorders>
              <w:top w:val="nil"/>
              <w:left w:val="nil"/>
              <w:bottom w:val="single" w:sz="4" w:space="0" w:color="auto"/>
              <w:right w:val="single" w:sz="4" w:space="0" w:color="auto"/>
            </w:tcBorders>
            <w:shd w:val="clear" w:color="auto" w:fill="auto"/>
            <w:vAlign w:val="center"/>
          </w:tcPr>
          <w:p w14:paraId="1DE1E8D6" w14:textId="69C90161" w:rsidR="00123B40" w:rsidRPr="00F41258" w:rsidRDefault="008014A7" w:rsidP="001F3E4E">
            <w:pPr>
              <w:pBdr>
                <w:top w:val="none" w:sz="0" w:space="0" w:color="auto"/>
                <w:left w:val="none" w:sz="0" w:space="0" w:color="auto"/>
                <w:bottom w:val="none" w:sz="0" w:space="0" w:color="auto"/>
                <w:right w:val="none" w:sz="0" w:space="0" w:color="auto"/>
                <w:between w:val="none" w:sz="0" w:space="0" w:color="auto"/>
              </w:pBdr>
              <w:spacing w:before="0"/>
              <w:jc w:val="center"/>
              <w:rPr>
                <w:rFonts w:eastAsia="Times New Roman"/>
                <w:b/>
                <w:bCs/>
                <w:color w:val="000000"/>
                <w:spacing w:val="0"/>
                <w:lang w:eastAsia="zh-CN"/>
              </w:rPr>
            </w:pPr>
            <w:r w:rsidRPr="00F41258">
              <w:rPr>
                <w:rFonts w:eastAsia="Times New Roman"/>
                <w:b/>
                <w:bCs/>
                <w:color w:val="000000"/>
                <w:spacing w:val="0"/>
                <w:lang w:eastAsia="zh-CN"/>
              </w:rPr>
              <w:t>Klima-Bonus</w:t>
            </w:r>
          </w:p>
        </w:tc>
        <w:tc>
          <w:tcPr>
            <w:tcW w:w="1278" w:type="dxa"/>
            <w:tcBorders>
              <w:top w:val="nil"/>
              <w:left w:val="nil"/>
              <w:bottom w:val="single" w:sz="4" w:space="0" w:color="auto"/>
              <w:right w:val="single" w:sz="4" w:space="0" w:color="auto"/>
            </w:tcBorders>
            <w:vAlign w:val="center"/>
          </w:tcPr>
          <w:p w14:paraId="46E42257" w14:textId="2EDD6AAB" w:rsidR="00123B40" w:rsidRPr="00F41258" w:rsidRDefault="008014A7" w:rsidP="001600AB">
            <w:pPr>
              <w:pBdr>
                <w:top w:val="none" w:sz="0" w:space="0" w:color="auto"/>
                <w:left w:val="none" w:sz="0" w:space="0" w:color="auto"/>
                <w:bottom w:val="none" w:sz="0" w:space="0" w:color="auto"/>
                <w:right w:val="none" w:sz="0" w:space="0" w:color="auto"/>
                <w:between w:val="none" w:sz="0" w:space="0" w:color="auto"/>
              </w:pBdr>
              <w:spacing w:before="0"/>
              <w:jc w:val="center"/>
              <w:rPr>
                <w:rFonts w:eastAsia="Times New Roman"/>
                <w:b/>
                <w:bCs/>
                <w:color w:val="000000"/>
                <w:spacing w:val="0"/>
                <w:lang w:eastAsia="zh-CN"/>
              </w:rPr>
            </w:pPr>
            <w:r w:rsidRPr="00F41258">
              <w:rPr>
                <w:rFonts w:eastAsia="Times New Roman"/>
                <w:b/>
                <w:bCs/>
                <w:color w:val="000000"/>
                <w:spacing w:val="0"/>
                <w:lang w:eastAsia="zh-CN"/>
              </w:rPr>
              <w:t>Ein-kommens-Bonus</w:t>
            </w:r>
          </w:p>
        </w:tc>
      </w:tr>
      <w:tr w:rsidR="008B6755" w:rsidRPr="00F41258" w14:paraId="6FE662E8" w14:textId="163D6E71" w:rsidTr="00E327CF">
        <w:trPr>
          <w:trHeight w:val="300"/>
        </w:trPr>
        <w:tc>
          <w:tcPr>
            <w:tcW w:w="2694" w:type="dxa"/>
            <w:tcBorders>
              <w:top w:val="nil"/>
              <w:left w:val="single" w:sz="4" w:space="0" w:color="auto"/>
              <w:bottom w:val="single" w:sz="4" w:space="0" w:color="auto"/>
              <w:right w:val="single" w:sz="4" w:space="0" w:color="auto"/>
            </w:tcBorders>
            <w:shd w:val="clear" w:color="auto" w:fill="auto"/>
            <w:noWrap/>
            <w:vAlign w:val="center"/>
            <w:hideMark/>
          </w:tcPr>
          <w:p w14:paraId="7931ED00" w14:textId="77777777" w:rsidR="00123B40" w:rsidRPr="00F41258" w:rsidRDefault="00123B40" w:rsidP="001F3E4E">
            <w:pPr>
              <w:pBdr>
                <w:top w:val="none" w:sz="0" w:space="0" w:color="auto"/>
                <w:left w:val="none" w:sz="0" w:space="0" w:color="auto"/>
                <w:bottom w:val="none" w:sz="0" w:space="0" w:color="auto"/>
                <w:right w:val="none" w:sz="0" w:space="0" w:color="auto"/>
                <w:between w:val="none" w:sz="0" w:space="0" w:color="auto"/>
              </w:pBdr>
              <w:spacing w:before="0"/>
              <w:jc w:val="left"/>
              <w:rPr>
                <w:rFonts w:eastAsia="Times New Roman"/>
                <w:color w:val="000000"/>
                <w:spacing w:val="0"/>
                <w:lang w:eastAsia="zh-CN"/>
              </w:rPr>
            </w:pPr>
            <w:r w:rsidRPr="00F41258">
              <w:rPr>
                <w:rFonts w:eastAsia="Times New Roman"/>
                <w:color w:val="000000"/>
                <w:spacing w:val="0"/>
                <w:lang w:eastAsia="zh-CN"/>
              </w:rPr>
              <w:t>Gebäudehülle</w:t>
            </w:r>
          </w:p>
        </w:tc>
        <w:tc>
          <w:tcPr>
            <w:tcW w:w="1276" w:type="dxa"/>
            <w:tcBorders>
              <w:top w:val="nil"/>
              <w:left w:val="nil"/>
              <w:bottom w:val="single" w:sz="4" w:space="0" w:color="auto"/>
              <w:right w:val="single" w:sz="4" w:space="0" w:color="auto"/>
            </w:tcBorders>
            <w:shd w:val="clear" w:color="auto" w:fill="auto"/>
            <w:noWrap/>
            <w:vAlign w:val="center"/>
            <w:hideMark/>
          </w:tcPr>
          <w:p w14:paraId="0B5E0F2A" w14:textId="4315BCEA" w:rsidR="00703BE4" w:rsidRPr="00F41258" w:rsidRDefault="00123B40" w:rsidP="00703BE4">
            <w:pPr>
              <w:pBdr>
                <w:top w:val="none" w:sz="0" w:space="0" w:color="auto"/>
                <w:left w:val="none" w:sz="0" w:space="0" w:color="auto"/>
                <w:bottom w:val="none" w:sz="0" w:space="0" w:color="auto"/>
                <w:right w:val="none" w:sz="0" w:space="0" w:color="auto"/>
                <w:between w:val="none" w:sz="0" w:space="0" w:color="auto"/>
              </w:pBdr>
              <w:spacing w:before="0"/>
              <w:jc w:val="center"/>
              <w:rPr>
                <w:rFonts w:eastAsia="Times New Roman"/>
                <w:color w:val="000000"/>
                <w:spacing w:val="0"/>
                <w:lang w:eastAsia="zh-CN"/>
              </w:rPr>
            </w:pPr>
            <w:r w:rsidRPr="00F41258">
              <w:rPr>
                <w:rFonts w:eastAsia="Times New Roman"/>
                <w:color w:val="000000"/>
                <w:spacing w:val="0"/>
                <w:lang w:eastAsia="zh-CN"/>
              </w:rPr>
              <w:t>15%</w:t>
            </w:r>
          </w:p>
        </w:tc>
        <w:tc>
          <w:tcPr>
            <w:tcW w:w="1277" w:type="dxa"/>
            <w:tcBorders>
              <w:top w:val="nil"/>
              <w:left w:val="nil"/>
              <w:bottom w:val="single" w:sz="4" w:space="0" w:color="auto"/>
              <w:right w:val="single" w:sz="4" w:space="0" w:color="auto"/>
            </w:tcBorders>
            <w:shd w:val="clear" w:color="auto" w:fill="auto"/>
            <w:noWrap/>
            <w:vAlign w:val="center"/>
            <w:hideMark/>
          </w:tcPr>
          <w:p w14:paraId="327882F8" w14:textId="77777777" w:rsidR="00123B40" w:rsidRPr="00F41258" w:rsidRDefault="00123B40" w:rsidP="001F3E4E">
            <w:pPr>
              <w:pBdr>
                <w:top w:val="none" w:sz="0" w:space="0" w:color="auto"/>
                <w:left w:val="none" w:sz="0" w:space="0" w:color="auto"/>
                <w:bottom w:val="none" w:sz="0" w:space="0" w:color="auto"/>
                <w:right w:val="none" w:sz="0" w:space="0" w:color="auto"/>
                <w:between w:val="none" w:sz="0" w:space="0" w:color="auto"/>
              </w:pBdr>
              <w:spacing w:before="0"/>
              <w:jc w:val="center"/>
              <w:rPr>
                <w:rFonts w:eastAsia="Times New Roman"/>
                <w:color w:val="000000"/>
                <w:spacing w:val="0"/>
                <w:lang w:eastAsia="zh-CN"/>
              </w:rPr>
            </w:pPr>
            <w:r w:rsidRPr="00F41258">
              <w:rPr>
                <w:rFonts w:eastAsia="Times New Roman"/>
                <w:color w:val="000000"/>
                <w:spacing w:val="0"/>
                <w:lang w:eastAsia="zh-CN"/>
              </w:rPr>
              <w:t>5%</w:t>
            </w:r>
          </w:p>
        </w:tc>
        <w:tc>
          <w:tcPr>
            <w:tcW w:w="1276" w:type="dxa"/>
            <w:tcBorders>
              <w:top w:val="nil"/>
              <w:left w:val="nil"/>
              <w:bottom w:val="single" w:sz="4" w:space="0" w:color="auto"/>
              <w:right w:val="single" w:sz="4" w:space="0" w:color="auto"/>
            </w:tcBorders>
            <w:shd w:val="clear" w:color="auto" w:fill="auto"/>
            <w:vAlign w:val="center"/>
          </w:tcPr>
          <w:p w14:paraId="54452D39" w14:textId="04AADA43" w:rsidR="00123B40" w:rsidRPr="00F41258" w:rsidRDefault="00123B40" w:rsidP="001F3E4E">
            <w:pPr>
              <w:pBdr>
                <w:top w:val="none" w:sz="0" w:space="0" w:color="auto"/>
                <w:left w:val="none" w:sz="0" w:space="0" w:color="auto"/>
                <w:bottom w:val="none" w:sz="0" w:space="0" w:color="auto"/>
                <w:right w:val="none" w:sz="0" w:space="0" w:color="auto"/>
                <w:between w:val="none" w:sz="0" w:space="0" w:color="auto"/>
              </w:pBdr>
              <w:spacing w:before="0"/>
              <w:jc w:val="center"/>
              <w:rPr>
                <w:rFonts w:eastAsia="Times New Roman"/>
                <w:color w:val="000000"/>
                <w:spacing w:val="0"/>
                <w:lang w:eastAsia="zh-CN"/>
              </w:rPr>
            </w:pPr>
            <w:r w:rsidRPr="00F41258">
              <w:rPr>
                <w:rFonts w:eastAsia="Times New Roman"/>
                <w:color w:val="000000"/>
                <w:spacing w:val="0"/>
                <w:lang w:eastAsia="zh-CN"/>
              </w:rPr>
              <w:t> </w:t>
            </w:r>
          </w:p>
        </w:tc>
        <w:tc>
          <w:tcPr>
            <w:tcW w:w="1277" w:type="dxa"/>
            <w:tcBorders>
              <w:top w:val="nil"/>
              <w:left w:val="nil"/>
              <w:bottom w:val="nil"/>
              <w:right w:val="single" w:sz="4" w:space="0" w:color="auto"/>
            </w:tcBorders>
            <w:shd w:val="clear" w:color="auto" w:fill="auto"/>
            <w:vAlign w:val="center"/>
          </w:tcPr>
          <w:p w14:paraId="7CE4C855" w14:textId="5F46D08F" w:rsidR="00123B40" w:rsidRPr="00F41258" w:rsidRDefault="00123B40" w:rsidP="001F3E4E">
            <w:pPr>
              <w:pBdr>
                <w:top w:val="none" w:sz="0" w:space="0" w:color="auto"/>
                <w:left w:val="none" w:sz="0" w:space="0" w:color="auto"/>
                <w:bottom w:val="none" w:sz="0" w:space="0" w:color="auto"/>
                <w:right w:val="none" w:sz="0" w:space="0" w:color="auto"/>
                <w:between w:val="none" w:sz="0" w:space="0" w:color="auto"/>
              </w:pBdr>
              <w:spacing w:before="0"/>
              <w:jc w:val="center"/>
              <w:rPr>
                <w:rFonts w:eastAsia="Times New Roman"/>
                <w:color w:val="000000"/>
                <w:spacing w:val="0"/>
                <w:lang w:eastAsia="zh-CN"/>
              </w:rPr>
            </w:pPr>
            <w:r w:rsidRPr="00F41258">
              <w:rPr>
                <w:rFonts w:eastAsia="Times New Roman"/>
                <w:color w:val="000000"/>
                <w:spacing w:val="0"/>
                <w:lang w:eastAsia="zh-CN"/>
              </w:rPr>
              <w:t> </w:t>
            </w:r>
          </w:p>
        </w:tc>
        <w:tc>
          <w:tcPr>
            <w:tcW w:w="1278" w:type="dxa"/>
            <w:tcBorders>
              <w:top w:val="nil"/>
              <w:left w:val="nil"/>
              <w:bottom w:val="nil"/>
              <w:right w:val="single" w:sz="4" w:space="0" w:color="auto"/>
            </w:tcBorders>
          </w:tcPr>
          <w:p w14:paraId="4DC29F32" w14:textId="4FF104E8" w:rsidR="00123B40" w:rsidRPr="00F41258" w:rsidRDefault="008014A7" w:rsidP="001F3E4E">
            <w:pPr>
              <w:pBdr>
                <w:top w:val="none" w:sz="0" w:space="0" w:color="auto"/>
                <w:left w:val="none" w:sz="0" w:space="0" w:color="auto"/>
                <w:bottom w:val="none" w:sz="0" w:space="0" w:color="auto"/>
                <w:right w:val="none" w:sz="0" w:space="0" w:color="auto"/>
                <w:between w:val="none" w:sz="0" w:space="0" w:color="auto"/>
              </w:pBdr>
              <w:spacing w:before="0"/>
              <w:jc w:val="center"/>
              <w:rPr>
                <w:rFonts w:eastAsia="Times New Roman"/>
                <w:color w:val="000000"/>
                <w:spacing w:val="0"/>
                <w:lang w:eastAsia="zh-CN"/>
              </w:rPr>
            </w:pPr>
            <w:r w:rsidRPr="00F41258">
              <w:rPr>
                <w:rFonts w:eastAsia="Times New Roman"/>
                <w:bCs/>
                <w:color w:val="000000"/>
                <w:spacing w:val="0"/>
                <w:lang w:eastAsia="zh-CN"/>
              </w:rPr>
              <w:t> </w:t>
            </w:r>
          </w:p>
        </w:tc>
      </w:tr>
      <w:tr w:rsidR="00885CC7" w:rsidRPr="00F41258" w14:paraId="34BCE034" w14:textId="12F09049" w:rsidTr="00E327CF">
        <w:trPr>
          <w:trHeight w:val="300"/>
        </w:trPr>
        <w:tc>
          <w:tcPr>
            <w:tcW w:w="2694" w:type="dxa"/>
            <w:tcBorders>
              <w:top w:val="nil"/>
              <w:left w:val="single" w:sz="4" w:space="0" w:color="auto"/>
              <w:bottom w:val="nil"/>
              <w:right w:val="single" w:sz="4" w:space="0" w:color="auto"/>
            </w:tcBorders>
            <w:shd w:val="clear" w:color="auto" w:fill="auto"/>
            <w:noWrap/>
            <w:vAlign w:val="center"/>
            <w:hideMark/>
          </w:tcPr>
          <w:p w14:paraId="746D4C33" w14:textId="77777777" w:rsidR="00123B40" w:rsidRPr="00F41258" w:rsidRDefault="00123B40" w:rsidP="001F3E4E">
            <w:pPr>
              <w:pBdr>
                <w:top w:val="none" w:sz="0" w:space="0" w:color="auto"/>
                <w:left w:val="none" w:sz="0" w:space="0" w:color="auto"/>
                <w:bottom w:val="none" w:sz="0" w:space="0" w:color="auto"/>
                <w:right w:val="none" w:sz="0" w:space="0" w:color="auto"/>
                <w:between w:val="none" w:sz="0" w:space="0" w:color="auto"/>
              </w:pBdr>
              <w:spacing w:before="0"/>
              <w:jc w:val="left"/>
              <w:rPr>
                <w:rFonts w:eastAsia="Times New Roman"/>
                <w:color w:val="000000"/>
                <w:spacing w:val="0"/>
                <w:lang w:eastAsia="zh-CN"/>
              </w:rPr>
            </w:pPr>
            <w:r w:rsidRPr="00F41258">
              <w:rPr>
                <w:rFonts w:eastAsia="Times New Roman"/>
                <w:color w:val="000000"/>
                <w:spacing w:val="0"/>
                <w:lang w:eastAsia="zh-CN"/>
              </w:rPr>
              <w:t>Anlagentechnik</w:t>
            </w:r>
          </w:p>
        </w:tc>
        <w:tc>
          <w:tcPr>
            <w:tcW w:w="1276" w:type="dxa"/>
            <w:tcBorders>
              <w:top w:val="nil"/>
              <w:left w:val="nil"/>
              <w:bottom w:val="nil"/>
              <w:right w:val="single" w:sz="4" w:space="0" w:color="auto"/>
            </w:tcBorders>
            <w:shd w:val="clear" w:color="auto" w:fill="auto"/>
            <w:noWrap/>
            <w:vAlign w:val="center"/>
            <w:hideMark/>
          </w:tcPr>
          <w:p w14:paraId="20112C5A" w14:textId="77777777" w:rsidR="00123B40" w:rsidRPr="00F41258" w:rsidRDefault="00123B40" w:rsidP="001F3E4E">
            <w:pPr>
              <w:pBdr>
                <w:top w:val="none" w:sz="0" w:space="0" w:color="auto"/>
                <w:left w:val="none" w:sz="0" w:space="0" w:color="auto"/>
                <w:bottom w:val="none" w:sz="0" w:space="0" w:color="auto"/>
                <w:right w:val="none" w:sz="0" w:space="0" w:color="auto"/>
                <w:between w:val="none" w:sz="0" w:space="0" w:color="auto"/>
              </w:pBdr>
              <w:spacing w:before="0"/>
              <w:jc w:val="center"/>
              <w:rPr>
                <w:rFonts w:eastAsia="Times New Roman"/>
                <w:color w:val="000000"/>
                <w:spacing w:val="0"/>
                <w:lang w:eastAsia="zh-CN"/>
              </w:rPr>
            </w:pPr>
            <w:r w:rsidRPr="00F41258">
              <w:rPr>
                <w:rFonts w:eastAsia="Times New Roman"/>
                <w:color w:val="000000"/>
                <w:spacing w:val="0"/>
                <w:lang w:eastAsia="zh-CN"/>
              </w:rPr>
              <w:t>15%</w:t>
            </w:r>
          </w:p>
        </w:tc>
        <w:tc>
          <w:tcPr>
            <w:tcW w:w="1277" w:type="dxa"/>
            <w:tcBorders>
              <w:top w:val="nil"/>
              <w:left w:val="nil"/>
              <w:bottom w:val="nil"/>
              <w:right w:val="single" w:sz="4" w:space="0" w:color="auto"/>
            </w:tcBorders>
            <w:shd w:val="clear" w:color="auto" w:fill="auto"/>
            <w:noWrap/>
            <w:vAlign w:val="center"/>
            <w:hideMark/>
          </w:tcPr>
          <w:p w14:paraId="4DDF3ADB" w14:textId="77777777" w:rsidR="00123B40" w:rsidRPr="00F41258" w:rsidRDefault="00123B40" w:rsidP="001F3E4E">
            <w:pPr>
              <w:pBdr>
                <w:top w:val="none" w:sz="0" w:space="0" w:color="auto"/>
                <w:left w:val="none" w:sz="0" w:space="0" w:color="auto"/>
                <w:bottom w:val="none" w:sz="0" w:space="0" w:color="auto"/>
                <w:right w:val="none" w:sz="0" w:space="0" w:color="auto"/>
                <w:between w:val="none" w:sz="0" w:space="0" w:color="auto"/>
              </w:pBdr>
              <w:spacing w:before="0"/>
              <w:jc w:val="center"/>
              <w:rPr>
                <w:rFonts w:eastAsia="Times New Roman"/>
                <w:color w:val="000000"/>
                <w:spacing w:val="0"/>
                <w:lang w:eastAsia="zh-CN"/>
              </w:rPr>
            </w:pPr>
            <w:r w:rsidRPr="00F41258">
              <w:rPr>
                <w:rFonts w:eastAsia="Times New Roman"/>
                <w:color w:val="000000"/>
                <w:spacing w:val="0"/>
                <w:lang w:eastAsia="zh-CN"/>
              </w:rPr>
              <w:t>5%</w:t>
            </w:r>
          </w:p>
        </w:tc>
        <w:tc>
          <w:tcPr>
            <w:tcW w:w="1276" w:type="dxa"/>
            <w:tcBorders>
              <w:top w:val="nil"/>
              <w:left w:val="nil"/>
              <w:bottom w:val="single" w:sz="4" w:space="0" w:color="auto"/>
              <w:right w:val="single" w:sz="4" w:space="0" w:color="auto"/>
            </w:tcBorders>
            <w:shd w:val="clear" w:color="auto" w:fill="auto"/>
            <w:vAlign w:val="center"/>
          </w:tcPr>
          <w:p w14:paraId="07E1CC50" w14:textId="2983F91C" w:rsidR="00123B40" w:rsidRPr="00F41258" w:rsidRDefault="00123B40" w:rsidP="001F3E4E">
            <w:pPr>
              <w:pBdr>
                <w:top w:val="none" w:sz="0" w:space="0" w:color="auto"/>
                <w:left w:val="none" w:sz="0" w:space="0" w:color="auto"/>
                <w:bottom w:val="none" w:sz="0" w:space="0" w:color="auto"/>
                <w:right w:val="none" w:sz="0" w:space="0" w:color="auto"/>
                <w:between w:val="none" w:sz="0" w:space="0" w:color="auto"/>
              </w:pBdr>
              <w:spacing w:before="0"/>
              <w:jc w:val="center"/>
              <w:rPr>
                <w:rFonts w:eastAsia="Times New Roman"/>
                <w:color w:val="000000"/>
                <w:spacing w:val="0"/>
                <w:lang w:eastAsia="zh-CN"/>
              </w:rPr>
            </w:pPr>
            <w:r w:rsidRPr="00F41258">
              <w:rPr>
                <w:rFonts w:eastAsia="Times New Roman"/>
                <w:color w:val="000000"/>
                <w:spacing w:val="0"/>
                <w:lang w:eastAsia="zh-CN"/>
              </w:rPr>
              <w:t> </w:t>
            </w:r>
          </w:p>
        </w:tc>
        <w:tc>
          <w:tcPr>
            <w:tcW w:w="1277" w:type="dxa"/>
            <w:tcBorders>
              <w:top w:val="single" w:sz="4" w:space="0" w:color="auto"/>
              <w:left w:val="nil"/>
              <w:bottom w:val="nil"/>
              <w:right w:val="single" w:sz="4" w:space="0" w:color="auto"/>
            </w:tcBorders>
            <w:shd w:val="clear" w:color="auto" w:fill="auto"/>
            <w:vAlign w:val="center"/>
          </w:tcPr>
          <w:p w14:paraId="7C67C9FD" w14:textId="3ABBF47D" w:rsidR="00123B40" w:rsidRPr="00F41258" w:rsidRDefault="00123B40" w:rsidP="001F3E4E">
            <w:pPr>
              <w:pBdr>
                <w:top w:val="none" w:sz="0" w:space="0" w:color="auto"/>
                <w:left w:val="none" w:sz="0" w:space="0" w:color="auto"/>
                <w:bottom w:val="none" w:sz="0" w:space="0" w:color="auto"/>
                <w:right w:val="none" w:sz="0" w:space="0" w:color="auto"/>
                <w:between w:val="none" w:sz="0" w:space="0" w:color="auto"/>
              </w:pBdr>
              <w:spacing w:before="0"/>
              <w:jc w:val="center"/>
              <w:rPr>
                <w:rFonts w:eastAsia="Times New Roman"/>
                <w:color w:val="000000"/>
                <w:spacing w:val="0"/>
                <w:lang w:eastAsia="zh-CN"/>
              </w:rPr>
            </w:pPr>
            <w:r w:rsidRPr="00F41258">
              <w:rPr>
                <w:rFonts w:eastAsia="Times New Roman"/>
                <w:color w:val="000000"/>
                <w:spacing w:val="0"/>
                <w:lang w:eastAsia="zh-CN"/>
              </w:rPr>
              <w:t> </w:t>
            </w:r>
          </w:p>
        </w:tc>
        <w:tc>
          <w:tcPr>
            <w:tcW w:w="1278" w:type="dxa"/>
            <w:tcBorders>
              <w:top w:val="single" w:sz="4" w:space="0" w:color="auto"/>
              <w:left w:val="nil"/>
              <w:bottom w:val="nil"/>
              <w:right w:val="single" w:sz="4" w:space="0" w:color="auto"/>
            </w:tcBorders>
          </w:tcPr>
          <w:p w14:paraId="31DC05C1" w14:textId="3BEB2D7B" w:rsidR="00123B40" w:rsidRPr="00F41258" w:rsidRDefault="008014A7" w:rsidP="001F3E4E">
            <w:pPr>
              <w:pBdr>
                <w:top w:val="none" w:sz="0" w:space="0" w:color="auto"/>
                <w:left w:val="none" w:sz="0" w:space="0" w:color="auto"/>
                <w:bottom w:val="none" w:sz="0" w:space="0" w:color="auto"/>
                <w:right w:val="none" w:sz="0" w:space="0" w:color="auto"/>
                <w:between w:val="none" w:sz="0" w:space="0" w:color="auto"/>
              </w:pBdr>
              <w:spacing w:before="0"/>
              <w:jc w:val="center"/>
              <w:rPr>
                <w:rFonts w:eastAsia="Times New Roman"/>
                <w:color w:val="000000"/>
                <w:spacing w:val="0"/>
                <w:lang w:eastAsia="zh-CN"/>
              </w:rPr>
            </w:pPr>
            <w:r w:rsidRPr="00F41258">
              <w:rPr>
                <w:rFonts w:eastAsia="Times New Roman"/>
                <w:bCs/>
                <w:color w:val="000000"/>
                <w:spacing w:val="0"/>
                <w:lang w:eastAsia="zh-CN"/>
              </w:rPr>
              <w:t> </w:t>
            </w:r>
          </w:p>
        </w:tc>
      </w:tr>
      <w:tr w:rsidR="00922D89" w:rsidRPr="00F41258" w14:paraId="6BC3FD3B" w14:textId="42EB77A3" w:rsidTr="00E327CF">
        <w:trPr>
          <w:trHeight w:val="300"/>
        </w:trPr>
        <w:tc>
          <w:tcPr>
            <w:tcW w:w="2694" w:type="dxa"/>
            <w:tcBorders>
              <w:top w:val="single" w:sz="4" w:space="0" w:color="auto"/>
              <w:left w:val="single" w:sz="4" w:space="0" w:color="auto"/>
              <w:bottom w:val="nil"/>
              <w:right w:val="nil"/>
            </w:tcBorders>
            <w:shd w:val="clear" w:color="auto" w:fill="auto"/>
            <w:noWrap/>
            <w:vAlign w:val="center"/>
            <w:hideMark/>
          </w:tcPr>
          <w:p w14:paraId="4CF1F6F1" w14:textId="2A8CF851" w:rsidR="00D91362" w:rsidRPr="00F41258" w:rsidRDefault="00545ED1" w:rsidP="00D91362">
            <w:pPr>
              <w:pBdr>
                <w:top w:val="none" w:sz="0" w:space="0" w:color="auto"/>
                <w:left w:val="none" w:sz="0" w:space="0" w:color="auto"/>
                <w:bottom w:val="none" w:sz="0" w:space="0" w:color="auto"/>
                <w:right w:val="none" w:sz="0" w:space="0" w:color="auto"/>
                <w:between w:val="none" w:sz="0" w:space="0" w:color="auto"/>
              </w:pBdr>
              <w:spacing w:before="0"/>
              <w:jc w:val="left"/>
              <w:rPr>
                <w:rFonts w:eastAsia="Times New Roman"/>
                <w:color w:val="000000"/>
                <w:spacing w:val="0"/>
                <w:lang w:eastAsia="zh-CN"/>
              </w:rPr>
            </w:pPr>
            <w:r w:rsidRPr="00F41258">
              <w:rPr>
                <w:rFonts w:eastAsia="Times New Roman"/>
                <w:color w:val="000000"/>
                <w:spacing w:val="0"/>
                <w:lang w:eastAsia="zh-CN"/>
              </w:rPr>
              <w:t xml:space="preserve">solarthermische </w:t>
            </w:r>
            <w:r w:rsidR="008014A7" w:rsidRPr="00F41258">
              <w:rPr>
                <w:rFonts w:eastAsia="Times New Roman"/>
                <w:color w:val="000000"/>
                <w:spacing w:val="0"/>
                <w:lang w:eastAsia="zh-CN"/>
              </w:rPr>
              <w:t>Anlagen</w:t>
            </w:r>
          </w:p>
        </w:tc>
        <w:tc>
          <w:tcPr>
            <w:tcW w:w="1276" w:type="dxa"/>
            <w:tcBorders>
              <w:top w:val="single" w:sz="4" w:space="0" w:color="auto"/>
              <w:left w:val="single" w:sz="4" w:space="0" w:color="auto"/>
              <w:bottom w:val="nil"/>
              <w:right w:val="single" w:sz="4" w:space="0" w:color="auto"/>
            </w:tcBorders>
            <w:shd w:val="clear" w:color="auto" w:fill="auto"/>
            <w:noWrap/>
            <w:vAlign w:val="center"/>
          </w:tcPr>
          <w:p w14:paraId="799B6366" w14:textId="71BBD618" w:rsidR="00D91362" w:rsidRPr="00F41258" w:rsidRDefault="00D91362" w:rsidP="00D91362">
            <w:pPr>
              <w:pBdr>
                <w:top w:val="none" w:sz="0" w:space="0" w:color="auto"/>
                <w:left w:val="none" w:sz="0" w:space="0" w:color="auto"/>
                <w:bottom w:val="none" w:sz="0" w:space="0" w:color="auto"/>
                <w:right w:val="none" w:sz="0" w:space="0" w:color="auto"/>
                <w:between w:val="none" w:sz="0" w:space="0" w:color="auto"/>
              </w:pBdr>
              <w:spacing w:before="0"/>
              <w:jc w:val="center"/>
              <w:rPr>
                <w:rFonts w:eastAsia="Times New Roman"/>
                <w:color w:val="000000"/>
                <w:spacing w:val="0"/>
                <w:lang w:eastAsia="zh-CN"/>
              </w:rPr>
            </w:pPr>
            <w:r w:rsidRPr="00F41258">
              <w:rPr>
                <w:rFonts w:eastAsia="Times New Roman"/>
                <w:color w:val="000000"/>
                <w:spacing w:val="0"/>
                <w:lang w:eastAsia="zh-CN"/>
              </w:rPr>
              <w:t>30%</w:t>
            </w:r>
          </w:p>
        </w:tc>
        <w:tc>
          <w:tcPr>
            <w:tcW w:w="1277" w:type="dxa"/>
            <w:tcBorders>
              <w:top w:val="single" w:sz="4" w:space="0" w:color="auto"/>
              <w:left w:val="nil"/>
              <w:bottom w:val="nil"/>
              <w:right w:val="single" w:sz="4" w:space="0" w:color="auto"/>
            </w:tcBorders>
            <w:shd w:val="clear" w:color="auto" w:fill="auto"/>
            <w:noWrap/>
            <w:vAlign w:val="center"/>
            <w:hideMark/>
          </w:tcPr>
          <w:p w14:paraId="594136D1" w14:textId="77777777" w:rsidR="00D91362" w:rsidRPr="00F41258" w:rsidRDefault="00D91362" w:rsidP="00D91362">
            <w:pPr>
              <w:pBdr>
                <w:top w:val="none" w:sz="0" w:space="0" w:color="auto"/>
                <w:left w:val="none" w:sz="0" w:space="0" w:color="auto"/>
                <w:bottom w:val="none" w:sz="0" w:space="0" w:color="auto"/>
                <w:right w:val="none" w:sz="0" w:space="0" w:color="auto"/>
                <w:between w:val="none" w:sz="0" w:space="0" w:color="auto"/>
              </w:pBdr>
              <w:spacing w:before="0"/>
              <w:jc w:val="center"/>
              <w:rPr>
                <w:rFonts w:eastAsia="Times New Roman"/>
                <w:color w:val="000000"/>
                <w:spacing w:val="0"/>
                <w:lang w:eastAsia="zh-CN"/>
              </w:rPr>
            </w:pPr>
            <w:r w:rsidRPr="00F41258">
              <w:rPr>
                <w:rFonts w:eastAsia="Times New Roman"/>
                <w:color w:val="000000"/>
                <w:spacing w:val="0"/>
                <w:lang w:eastAsia="zh-CN"/>
              </w:rPr>
              <w:t> </w:t>
            </w:r>
          </w:p>
        </w:tc>
        <w:tc>
          <w:tcPr>
            <w:tcW w:w="1276" w:type="dxa"/>
            <w:tcBorders>
              <w:top w:val="nil"/>
              <w:left w:val="nil"/>
              <w:bottom w:val="nil"/>
              <w:right w:val="single" w:sz="4" w:space="0" w:color="auto"/>
            </w:tcBorders>
            <w:shd w:val="clear" w:color="auto" w:fill="auto"/>
            <w:noWrap/>
            <w:vAlign w:val="center"/>
          </w:tcPr>
          <w:p w14:paraId="35E0C605" w14:textId="42836F6A" w:rsidR="00D91362" w:rsidRPr="00F41258" w:rsidRDefault="008014A7" w:rsidP="00D91362">
            <w:pPr>
              <w:pBdr>
                <w:top w:val="none" w:sz="0" w:space="0" w:color="auto"/>
                <w:left w:val="none" w:sz="0" w:space="0" w:color="auto"/>
                <w:bottom w:val="none" w:sz="0" w:space="0" w:color="auto"/>
                <w:right w:val="none" w:sz="0" w:space="0" w:color="auto"/>
                <w:between w:val="none" w:sz="0" w:space="0" w:color="auto"/>
              </w:pBdr>
              <w:spacing w:before="0"/>
              <w:jc w:val="center"/>
              <w:rPr>
                <w:rFonts w:eastAsia="Times New Roman"/>
                <w:color w:val="000000"/>
                <w:spacing w:val="0"/>
                <w:lang w:eastAsia="zh-CN"/>
              </w:rPr>
            </w:pPr>
            <w:r w:rsidRPr="00F41258">
              <w:rPr>
                <w:rFonts w:eastAsia="Times New Roman"/>
                <w:color w:val="000000"/>
                <w:spacing w:val="0"/>
                <w:lang w:eastAsia="zh-CN"/>
              </w:rPr>
              <w:t> </w:t>
            </w:r>
          </w:p>
        </w:tc>
        <w:tc>
          <w:tcPr>
            <w:tcW w:w="1277" w:type="dxa"/>
            <w:tcBorders>
              <w:top w:val="single" w:sz="4" w:space="0" w:color="auto"/>
              <w:left w:val="nil"/>
              <w:bottom w:val="nil"/>
              <w:right w:val="single" w:sz="4" w:space="0" w:color="auto"/>
            </w:tcBorders>
            <w:shd w:val="clear" w:color="auto" w:fill="auto"/>
            <w:noWrap/>
            <w:vAlign w:val="center"/>
          </w:tcPr>
          <w:p w14:paraId="0B197C58" w14:textId="579F2086" w:rsidR="00D91362" w:rsidRPr="00F41258" w:rsidRDefault="008014A7" w:rsidP="00D91362">
            <w:pPr>
              <w:pBdr>
                <w:top w:val="none" w:sz="0" w:space="0" w:color="auto"/>
                <w:left w:val="none" w:sz="0" w:space="0" w:color="auto"/>
                <w:bottom w:val="none" w:sz="0" w:space="0" w:color="auto"/>
                <w:right w:val="none" w:sz="0" w:space="0" w:color="auto"/>
                <w:between w:val="none" w:sz="0" w:space="0" w:color="auto"/>
              </w:pBdr>
              <w:spacing w:before="0"/>
              <w:jc w:val="center"/>
              <w:rPr>
                <w:rFonts w:eastAsia="Times New Roman"/>
                <w:color w:val="000000"/>
                <w:spacing w:val="0"/>
                <w:lang w:eastAsia="zh-CN"/>
              </w:rPr>
            </w:pPr>
            <w:r w:rsidRPr="00F41258">
              <w:rPr>
                <w:rFonts w:eastAsia="Times New Roman"/>
                <w:color w:val="000000"/>
                <w:spacing w:val="0"/>
                <w:lang w:eastAsia="zh-CN"/>
              </w:rPr>
              <w:t>20%</w:t>
            </w:r>
          </w:p>
        </w:tc>
        <w:tc>
          <w:tcPr>
            <w:tcW w:w="1278" w:type="dxa"/>
            <w:tcBorders>
              <w:top w:val="single" w:sz="4" w:space="0" w:color="auto"/>
              <w:left w:val="nil"/>
              <w:bottom w:val="nil"/>
              <w:right w:val="single" w:sz="4" w:space="0" w:color="auto"/>
            </w:tcBorders>
            <w:vAlign w:val="center"/>
          </w:tcPr>
          <w:p w14:paraId="5E597D68" w14:textId="1DD880A2" w:rsidR="00D91362" w:rsidRPr="00F41258" w:rsidRDefault="00D91362" w:rsidP="00D91362">
            <w:pPr>
              <w:pBdr>
                <w:top w:val="none" w:sz="0" w:space="0" w:color="auto"/>
                <w:left w:val="none" w:sz="0" w:space="0" w:color="auto"/>
                <w:bottom w:val="none" w:sz="0" w:space="0" w:color="auto"/>
                <w:right w:val="none" w:sz="0" w:space="0" w:color="auto"/>
                <w:between w:val="none" w:sz="0" w:space="0" w:color="auto"/>
              </w:pBdr>
              <w:spacing w:before="0"/>
              <w:jc w:val="center"/>
              <w:rPr>
                <w:rFonts w:eastAsia="Times New Roman"/>
                <w:color w:val="000000"/>
                <w:spacing w:val="0"/>
                <w:lang w:eastAsia="zh-CN"/>
              </w:rPr>
            </w:pPr>
            <w:r w:rsidRPr="00F41258">
              <w:rPr>
                <w:rFonts w:eastAsia="Times New Roman"/>
                <w:color w:val="000000"/>
                <w:spacing w:val="0"/>
                <w:lang w:eastAsia="zh-CN"/>
              </w:rPr>
              <w:t>30%</w:t>
            </w:r>
          </w:p>
        </w:tc>
      </w:tr>
      <w:tr w:rsidR="00885CC7" w:rsidRPr="00F41258" w14:paraId="0EC2DE9C" w14:textId="77777777" w:rsidTr="00E327CF">
        <w:trPr>
          <w:trHeight w:val="300"/>
        </w:trPr>
        <w:tc>
          <w:tcPr>
            <w:tcW w:w="2694" w:type="dxa"/>
            <w:tcBorders>
              <w:top w:val="nil"/>
              <w:left w:val="single" w:sz="4" w:space="0" w:color="auto"/>
              <w:bottom w:val="nil"/>
              <w:right w:val="nil"/>
            </w:tcBorders>
            <w:shd w:val="clear" w:color="auto" w:fill="auto"/>
            <w:noWrap/>
            <w:vAlign w:val="center"/>
            <w:hideMark/>
          </w:tcPr>
          <w:p w14:paraId="58D6A24A" w14:textId="77777777" w:rsidR="00D91362" w:rsidRPr="00F41258" w:rsidRDefault="00D91362" w:rsidP="00D91362">
            <w:pPr>
              <w:pBdr>
                <w:top w:val="none" w:sz="0" w:space="0" w:color="auto"/>
                <w:left w:val="none" w:sz="0" w:space="0" w:color="auto"/>
                <w:bottom w:val="none" w:sz="0" w:space="0" w:color="auto"/>
                <w:right w:val="none" w:sz="0" w:space="0" w:color="auto"/>
                <w:between w:val="none" w:sz="0" w:space="0" w:color="auto"/>
              </w:pBdr>
              <w:spacing w:before="0"/>
              <w:jc w:val="left"/>
              <w:rPr>
                <w:rFonts w:eastAsia="Times New Roman"/>
                <w:color w:val="000000"/>
                <w:spacing w:val="0"/>
                <w:lang w:eastAsia="zh-CN"/>
              </w:rPr>
            </w:pPr>
            <w:r w:rsidRPr="00F41258">
              <w:rPr>
                <w:rFonts w:eastAsia="Times New Roman"/>
                <w:color w:val="000000"/>
                <w:spacing w:val="0"/>
                <w:lang w:eastAsia="zh-CN"/>
              </w:rPr>
              <w:t>Biomasseheizungen</w:t>
            </w:r>
          </w:p>
        </w:tc>
        <w:tc>
          <w:tcPr>
            <w:tcW w:w="1276" w:type="dxa"/>
            <w:tcBorders>
              <w:top w:val="nil"/>
              <w:left w:val="single" w:sz="4" w:space="0" w:color="auto"/>
              <w:bottom w:val="nil"/>
              <w:right w:val="single" w:sz="4" w:space="0" w:color="auto"/>
            </w:tcBorders>
            <w:shd w:val="clear" w:color="auto" w:fill="auto"/>
            <w:noWrap/>
            <w:vAlign w:val="center"/>
          </w:tcPr>
          <w:p w14:paraId="3D1CD36A" w14:textId="3580FD1C" w:rsidR="00D91362" w:rsidRPr="00F41258" w:rsidRDefault="00F0762E" w:rsidP="00D91362">
            <w:pPr>
              <w:pBdr>
                <w:top w:val="none" w:sz="0" w:space="0" w:color="auto"/>
                <w:left w:val="none" w:sz="0" w:space="0" w:color="auto"/>
                <w:bottom w:val="none" w:sz="0" w:space="0" w:color="auto"/>
                <w:right w:val="none" w:sz="0" w:space="0" w:color="auto"/>
                <w:between w:val="none" w:sz="0" w:space="0" w:color="auto"/>
              </w:pBdr>
              <w:spacing w:before="0"/>
              <w:jc w:val="center"/>
              <w:rPr>
                <w:rFonts w:eastAsia="Times New Roman"/>
                <w:color w:val="000000"/>
                <w:spacing w:val="0"/>
                <w:lang w:eastAsia="zh-CN"/>
              </w:rPr>
            </w:pPr>
            <w:r w:rsidRPr="00F41258">
              <w:rPr>
                <w:rFonts w:eastAsia="Times New Roman"/>
                <w:color w:val="000000"/>
                <w:spacing w:val="0"/>
                <w:lang w:eastAsia="zh-CN"/>
              </w:rPr>
              <w:t>3</w:t>
            </w:r>
            <w:r w:rsidR="00D91362" w:rsidRPr="00F41258">
              <w:rPr>
                <w:rFonts w:eastAsia="Times New Roman"/>
                <w:color w:val="000000"/>
                <w:spacing w:val="0"/>
                <w:lang w:eastAsia="zh-CN"/>
              </w:rPr>
              <w:t>0%</w:t>
            </w:r>
          </w:p>
        </w:tc>
        <w:tc>
          <w:tcPr>
            <w:tcW w:w="1277" w:type="dxa"/>
            <w:tcBorders>
              <w:top w:val="nil"/>
              <w:left w:val="nil"/>
              <w:bottom w:val="nil"/>
              <w:right w:val="single" w:sz="4" w:space="0" w:color="auto"/>
            </w:tcBorders>
            <w:shd w:val="clear" w:color="auto" w:fill="auto"/>
            <w:noWrap/>
            <w:vAlign w:val="center"/>
            <w:hideMark/>
          </w:tcPr>
          <w:p w14:paraId="15E75DE1" w14:textId="77777777" w:rsidR="00D91362" w:rsidRPr="00F41258" w:rsidRDefault="00D91362" w:rsidP="00D91362">
            <w:pPr>
              <w:pBdr>
                <w:top w:val="none" w:sz="0" w:space="0" w:color="auto"/>
                <w:left w:val="none" w:sz="0" w:space="0" w:color="auto"/>
                <w:bottom w:val="none" w:sz="0" w:space="0" w:color="auto"/>
                <w:right w:val="none" w:sz="0" w:space="0" w:color="auto"/>
                <w:between w:val="none" w:sz="0" w:space="0" w:color="auto"/>
              </w:pBdr>
              <w:spacing w:before="0"/>
              <w:jc w:val="center"/>
              <w:rPr>
                <w:rFonts w:eastAsia="Times New Roman"/>
                <w:color w:val="000000"/>
                <w:spacing w:val="0"/>
                <w:lang w:eastAsia="zh-CN"/>
              </w:rPr>
            </w:pPr>
            <w:r w:rsidRPr="00F41258">
              <w:rPr>
                <w:rFonts w:eastAsia="Times New Roman"/>
                <w:color w:val="000000"/>
                <w:spacing w:val="0"/>
                <w:lang w:eastAsia="zh-CN"/>
              </w:rPr>
              <w:t> </w:t>
            </w:r>
          </w:p>
        </w:tc>
        <w:tc>
          <w:tcPr>
            <w:tcW w:w="1276" w:type="dxa"/>
            <w:tcBorders>
              <w:top w:val="nil"/>
              <w:left w:val="nil"/>
              <w:bottom w:val="nil"/>
              <w:right w:val="single" w:sz="4" w:space="0" w:color="auto"/>
            </w:tcBorders>
            <w:shd w:val="clear" w:color="auto" w:fill="auto"/>
            <w:noWrap/>
            <w:vAlign w:val="center"/>
          </w:tcPr>
          <w:p w14:paraId="68094871" w14:textId="4B108115" w:rsidR="00D91362" w:rsidRPr="00F41258" w:rsidRDefault="008014A7" w:rsidP="00D91362">
            <w:pPr>
              <w:pBdr>
                <w:top w:val="none" w:sz="0" w:space="0" w:color="auto"/>
                <w:left w:val="none" w:sz="0" w:space="0" w:color="auto"/>
                <w:bottom w:val="none" w:sz="0" w:space="0" w:color="auto"/>
                <w:right w:val="none" w:sz="0" w:space="0" w:color="auto"/>
                <w:between w:val="none" w:sz="0" w:space="0" w:color="auto"/>
              </w:pBdr>
              <w:spacing w:before="0"/>
              <w:jc w:val="center"/>
              <w:rPr>
                <w:rFonts w:eastAsia="Times New Roman"/>
                <w:color w:val="000000"/>
                <w:spacing w:val="0"/>
                <w:lang w:eastAsia="zh-CN"/>
              </w:rPr>
            </w:pPr>
            <w:r w:rsidRPr="00F41258">
              <w:rPr>
                <w:rFonts w:eastAsia="Times New Roman"/>
                <w:color w:val="000000"/>
                <w:spacing w:val="0"/>
                <w:lang w:eastAsia="zh-CN"/>
              </w:rPr>
              <w:t> </w:t>
            </w:r>
          </w:p>
        </w:tc>
        <w:tc>
          <w:tcPr>
            <w:tcW w:w="1277" w:type="dxa"/>
            <w:tcBorders>
              <w:top w:val="nil"/>
              <w:left w:val="nil"/>
              <w:bottom w:val="nil"/>
              <w:right w:val="single" w:sz="4" w:space="0" w:color="auto"/>
            </w:tcBorders>
            <w:shd w:val="clear" w:color="auto" w:fill="auto"/>
            <w:noWrap/>
            <w:vAlign w:val="center"/>
          </w:tcPr>
          <w:p w14:paraId="472D10BC" w14:textId="0EAF889A" w:rsidR="00D91362" w:rsidRPr="00F41258" w:rsidRDefault="008014A7" w:rsidP="00D91362">
            <w:pPr>
              <w:pBdr>
                <w:top w:val="none" w:sz="0" w:space="0" w:color="auto"/>
                <w:left w:val="none" w:sz="0" w:space="0" w:color="auto"/>
                <w:bottom w:val="none" w:sz="0" w:space="0" w:color="auto"/>
                <w:right w:val="none" w:sz="0" w:space="0" w:color="auto"/>
                <w:between w:val="none" w:sz="0" w:space="0" w:color="auto"/>
              </w:pBdr>
              <w:spacing w:before="0"/>
              <w:jc w:val="center"/>
              <w:rPr>
                <w:rFonts w:eastAsia="Times New Roman"/>
                <w:color w:val="000000"/>
                <w:spacing w:val="0"/>
                <w:lang w:eastAsia="zh-CN"/>
              </w:rPr>
            </w:pPr>
            <w:r w:rsidRPr="00F41258">
              <w:rPr>
                <w:rFonts w:eastAsia="Times New Roman"/>
                <w:color w:val="000000"/>
                <w:spacing w:val="0"/>
                <w:lang w:eastAsia="zh-CN"/>
              </w:rPr>
              <w:t>20%</w:t>
            </w:r>
          </w:p>
        </w:tc>
        <w:tc>
          <w:tcPr>
            <w:tcW w:w="1278" w:type="dxa"/>
            <w:tcBorders>
              <w:top w:val="nil"/>
              <w:left w:val="nil"/>
              <w:bottom w:val="nil"/>
              <w:right w:val="single" w:sz="4" w:space="0" w:color="auto"/>
            </w:tcBorders>
            <w:vAlign w:val="center"/>
          </w:tcPr>
          <w:p w14:paraId="2886F540" w14:textId="15CB7B87" w:rsidR="00D91362" w:rsidRPr="00F41258" w:rsidRDefault="00D91362" w:rsidP="00D91362">
            <w:pPr>
              <w:pBdr>
                <w:top w:val="none" w:sz="0" w:space="0" w:color="auto"/>
                <w:left w:val="none" w:sz="0" w:space="0" w:color="auto"/>
                <w:bottom w:val="none" w:sz="0" w:space="0" w:color="auto"/>
                <w:right w:val="none" w:sz="0" w:space="0" w:color="auto"/>
                <w:between w:val="none" w:sz="0" w:space="0" w:color="auto"/>
              </w:pBdr>
              <w:spacing w:before="0"/>
              <w:jc w:val="center"/>
              <w:rPr>
                <w:rFonts w:eastAsia="Times New Roman"/>
                <w:color w:val="000000"/>
                <w:spacing w:val="0"/>
                <w:lang w:eastAsia="zh-CN"/>
              </w:rPr>
            </w:pPr>
            <w:r w:rsidRPr="00F41258">
              <w:rPr>
                <w:rFonts w:eastAsia="Times New Roman"/>
                <w:color w:val="000000"/>
                <w:spacing w:val="0"/>
                <w:lang w:eastAsia="zh-CN"/>
              </w:rPr>
              <w:t>30%</w:t>
            </w:r>
          </w:p>
        </w:tc>
      </w:tr>
      <w:tr w:rsidR="00885CC7" w:rsidRPr="00F41258" w14:paraId="73B9D1BC" w14:textId="77777777" w:rsidTr="00E327CF">
        <w:trPr>
          <w:trHeight w:val="300"/>
        </w:trPr>
        <w:tc>
          <w:tcPr>
            <w:tcW w:w="2694" w:type="dxa"/>
            <w:tcBorders>
              <w:top w:val="nil"/>
              <w:left w:val="single" w:sz="4" w:space="0" w:color="auto"/>
              <w:bottom w:val="nil"/>
              <w:right w:val="nil"/>
            </w:tcBorders>
            <w:shd w:val="clear" w:color="auto" w:fill="auto"/>
            <w:noWrap/>
            <w:vAlign w:val="center"/>
          </w:tcPr>
          <w:p w14:paraId="6F873BBB" w14:textId="46BB9F9D" w:rsidR="00885CC7" w:rsidRPr="00F41258" w:rsidRDefault="00885CC7" w:rsidP="00885CC7">
            <w:pPr>
              <w:pBdr>
                <w:top w:val="none" w:sz="0" w:space="0" w:color="auto"/>
                <w:left w:val="none" w:sz="0" w:space="0" w:color="auto"/>
                <w:bottom w:val="none" w:sz="0" w:space="0" w:color="auto"/>
                <w:right w:val="none" w:sz="0" w:space="0" w:color="auto"/>
                <w:between w:val="none" w:sz="0" w:space="0" w:color="auto"/>
              </w:pBdr>
              <w:spacing w:before="0"/>
              <w:jc w:val="left"/>
              <w:rPr>
                <w:rFonts w:eastAsia="Times New Roman"/>
                <w:color w:val="000000"/>
                <w:spacing w:val="0"/>
                <w:lang w:eastAsia="zh-CN"/>
              </w:rPr>
            </w:pPr>
            <w:r w:rsidRPr="00F41258">
              <w:rPr>
                <w:rFonts w:eastAsia="Times New Roman"/>
                <w:color w:val="000000"/>
                <w:spacing w:val="0"/>
                <w:lang w:eastAsia="zh-CN"/>
              </w:rPr>
              <w:t>Wärmepumpen</w:t>
            </w:r>
          </w:p>
        </w:tc>
        <w:tc>
          <w:tcPr>
            <w:tcW w:w="1276" w:type="dxa"/>
            <w:tcBorders>
              <w:top w:val="nil"/>
              <w:left w:val="single" w:sz="4" w:space="0" w:color="auto"/>
              <w:bottom w:val="nil"/>
              <w:right w:val="single" w:sz="4" w:space="0" w:color="auto"/>
            </w:tcBorders>
            <w:shd w:val="clear" w:color="auto" w:fill="auto"/>
            <w:noWrap/>
            <w:vAlign w:val="center"/>
          </w:tcPr>
          <w:p w14:paraId="320B70CB" w14:textId="26E72D2B" w:rsidR="00885CC7" w:rsidRPr="00F41258" w:rsidRDefault="00885CC7" w:rsidP="00885CC7">
            <w:pPr>
              <w:pBdr>
                <w:top w:val="none" w:sz="0" w:space="0" w:color="auto"/>
                <w:left w:val="none" w:sz="0" w:space="0" w:color="auto"/>
                <w:bottom w:val="none" w:sz="0" w:space="0" w:color="auto"/>
                <w:right w:val="none" w:sz="0" w:space="0" w:color="auto"/>
                <w:between w:val="none" w:sz="0" w:space="0" w:color="auto"/>
              </w:pBdr>
              <w:spacing w:before="0"/>
              <w:jc w:val="center"/>
              <w:rPr>
                <w:rFonts w:eastAsia="Times New Roman"/>
                <w:color w:val="000000"/>
                <w:spacing w:val="0"/>
                <w:lang w:eastAsia="zh-CN"/>
              </w:rPr>
            </w:pPr>
            <w:r w:rsidRPr="00F41258">
              <w:rPr>
                <w:rFonts w:eastAsia="Times New Roman"/>
                <w:color w:val="000000"/>
                <w:spacing w:val="0"/>
                <w:lang w:eastAsia="zh-CN"/>
              </w:rPr>
              <w:t>30%</w:t>
            </w:r>
          </w:p>
        </w:tc>
        <w:tc>
          <w:tcPr>
            <w:tcW w:w="1277" w:type="dxa"/>
            <w:tcBorders>
              <w:top w:val="nil"/>
              <w:left w:val="nil"/>
              <w:bottom w:val="nil"/>
              <w:right w:val="single" w:sz="4" w:space="0" w:color="auto"/>
            </w:tcBorders>
            <w:shd w:val="clear" w:color="auto" w:fill="auto"/>
            <w:noWrap/>
            <w:vAlign w:val="center"/>
          </w:tcPr>
          <w:p w14:paraId="7BF2D8F6" w14:textId="0DBC8A04" w:rsidR="00885CC7" w:rsidRPr="00F41258" w:rsidRDefault="00885CC7" w:rsidP="00885CC7">
            <w:pPr>
              <w:pBdr>
                <w:top w:val="none" w:sz="0" w:space="0" w:color="auto"/>
                <w:left w:val="none" w:sz="0" w:space="0" w:color="auto"/>
                <w:bottom w:val="none" w:sz="0" w:space="0" w:color="auto"/>
                <w:right w:val="none" w:sz="0" w:space="0" w:color="auto"/>
                <w:between w:val="none" w:sz="0" w:space="0" w:color="auto"/>
              </w:pBdr>
              <w:spacing w:before="0"/>
              <w:jc w:val="center"/>
              <w:rPr>
                <w:rFonts w:eastAsia="Times New Roman"/>
                <w:color w:val="000000"/>
                <w:spacing w:val="0"/>
                <w:lang w:eastAsia="zh-CN"/>
              </w:rPr>
            </w:pPr>
            <w:r w:rsidRPr="00F41258">
              <w:rPr>
                <w:rFonts w:eastAsia="Times New Roman"/>
                <w:color w:val="000000"/>
                <w:spacing w:val="0"/>
                <w:lang w:eastAsia="zh-CN"/>
              </w:rPr>
              <w:t> </w:t>
            </w:r>
          </w:p>
        </w:tc>
        <w:tc>
          <w:tcPr>
            <w:tcW w:w="1276" w:type="dxa"/>
            <w:tcBorders>
              <w:top w:val="nil"/>
              <w:left w:val="nil"/>
              <w:bottom w:val="nil"/>
              <w:right w:val="single" w:sz="4" w:space="0" w:color="auto"/>
            </w:tcBorders>
            <w:shd w:val="clear" w:color="auto" w:fill="auto"/>
            <w:noWrap/>
            <w:vAlign w:val="center"/>
          </w:tcPr>
          <w:p w14:paraId="2E7A3E91" w14:textId="15076232" w:rsidR="00885CC7" w:rsidRPr="00F41258" w:rsidRDefault="00885CC7" w:rsidP="00885CC7">
            <w:pPr>
              <w:pBdr>
                <w:top w:val="none" w:sz="0" w:space="0" w:color="auto"/>
                <w:left w:val="none" w:sz="0" w:space="0" w:color="auto"/>
                <w:bottom w:val="none" w:sz="0" w:space="0" w:color="auto"/>
                <w:right w:val="none" w:sz="0" w:space="0" w:color="auto"/>
                <w:between w:val="none" w:sz="0" w:space="0" w:color="auto"/>
              </w:pBdr>
              <w:spacing w:before="0"/>
              <w:jc w:val="center"/>
              <w:rPr>
                <w:rFonts w:eastAsia="Times New Roman"/>
                <w:color w:val="000000"/>
                <w:spacing w:val="0"/>
                <w:lang w:eastAsia="zh-CN"/>
              </w:rPr>
            </w:pPr>
            <w:r w:rsidRPr="00F41258">
              <w:rPr>
                <w:rFonts w:eastAsia="Times New Roman"/>
                <w:color w:val="000000"/>
                <w:spacing w:val="0"/>
                <w:lang w:eastAsia="zh-CN"/>
              </w:rPr>
              <w:t>5%</w:t>
            </w:r>
          </w:p>
        </w:tc>
        <w:tc>
          <w:tcPr>
            <w:tcW w:w="1277" w:type="dxa"/>
            <w:tcBorders>
              <w:top w:val="nil"/>
              <w:left w:val="nil"/>
              <w:bottom w:val="nil"/>
              <w:right w:val="single" w:sz="4" w:space="0" w:color="auto"/>
            </w:tcBorders>
            <w:shd w:val="clear" w:color="auto" w:fill="auto"/>
            <w:noWrap/>
            <w:vAlign w:val="center"/>
          </w:tcPr>
          <w:p w14:paraId="22BF1B6B" w14:textId="574EC81E" w:rsidR="00885CC7" w:rsidRPr="00F41258" w:rsidRDefault="00885CC7" w:rsidP="00885CC7">
            <w:pPr>
              <w:pBdr>
                <w:top w:val="none" w:sz="0" w:space="0" w:color="auto"/>
                <w:left w:val="none" w:sz="0" w:space="0" w:color="auto"/>
                <w:bottom w:val="none" w:sz="0" w:space="0" w:color="auto"/>
                <w:right w:val="none" w:sz="0" w:space="0" w:color="auto"/>
                <w:between w:val="none" w:sz="0" w:space="0" w:color="auto"/>
              </w:pBdr>
              <w:spacing w:before="0"/>
              <w:jc w:val="center"/>
              <w:rPr>
                <w:rFonts w:eastAsia="Times New Roman"/>
                <w:color w:val="000000"/>
                <w:spacing w:val="0"/>
                <w:lang w:eastAsia="zh-CN"/>
              </w:rPr>
            </w:pPr>
            <w:r w:rsidRPr="00F41258">
              <w:rPr>
                <w:rFonts w:eastAsia="Times New Roman"/>
                <w:color w:val="000000"/>
                <w:spacing w:val="0"/>
                <w:lang w:eastAsia="zh-CN"/>
              </w:rPr>
              <w:t>20%</w:t>
            </w:r>
          </w:p>
        </w:tc>
        <w:tc>
          <w:tcPr>
            <w:tcW w:w="1278" w:type="dxa"/>
            <w:tcBorders>
              <w:top w:val="nil"/>
              <w:left w:val="nil"/>
              <w:bottom w:val="nil"/>
              <w:right w:val="single" w:sz="4" w:space="0" w:color="auto"/>
            </w:tcBorders>
            <w:vAlign w:val="center"/>
          </w:tcPr>
          <w:p w14:paraId="4C6FB7C3" w14:textId="04600A55" w:rsidR="00885CC7" w:rsidRPr="00F41258" w:rsidRDefault="00885CC7" w:rsidP="00885CC7">
            <w:pPr>
              <w:pBdr>
                <w:top w:val="none" w:sz="0" w:space="0" w:color="auto"/>
                <w:left w:val="none" w:sz="0" w:space="0" w:color="auto"/>
                <w:bottom w:val="none" w:sz="0" w:space="0" w:color="auto"/>
                <w:right w:val="none" w:sz="0" w:space="0" w:color="auto"/>
                <w:between w:val="none" w:sz="0" w:space="0" w:color="auto"/>
              </w:pBdr>
              <w:spacing w:before="0"/>
              <w:jc w:val="center"/>
              <w:rPr>
                <w:rFonts w:eastAsia="Times New Roman"/>
                <w:color w:val="000000"/>
                <w:spacing w:val="0"/>
                <w:lang w:eastAsia="zh-CN"/>
              </w:rPr>
            </w:pPr>
            <w:r w:rsidRPr="00F41258">
              <w:rPr>
                <w:rFonts w:eastAsia="Times New Roman"/>
                <w:color w:val="000000"/>
                <w:spacing w:val="0"/>
                <w:lang w:eastAsia="zh-CN"/>
              </w:rPr>
              <w:t>30%</w:t>
            </w:r>
          </w:p>
        </w:tc>
      </w:tr>
      <w:tr w:rsidR="00885CC7" w:rsidRPr="00F41258" w14:paraId="5B36A1BA" w14:textId="77777777" w:rsidTr="00E327CF">
        <w:trPr>
          <w:trHeight w:val="300"/>
        </w:trPr>
        <w:tc>
          <w:tcPr>
            <w:tcW w:w="2694" w:type="dxa"/>
            <w:tcBorders>
              <w:top w:val="nil"/>
              <w:left w:val="single" w:sz="4" w:space="0" w:color="auto"/>
              <w:bottom w:val="nil"/>
              <w:right w:val="nil"/>
            </w:tcBorders>
            <w:shd w:val="clear" w:color="auto" w:fill="auto"/>
            <w:noWrap/>
            <w:vAlign w:val="center"/>
          </w:tcPr>
          <w:p w14:paraId="26F7CF6C" w14:textId="737913C7" w:rsidR="00885CC7" w:rsidRPr="00F41258" w:rsidRDefault="00885CC7" w:rsidP="00885CC7">
            <w:pPr>
              <w:pBdr>
                <w:top w:val="none" w:sz="0" w:space="0" w:color="auto"/>
                <w:left w:val="none" w:sz="0" w:space="0" w:color="auto"/>
                <w:bottom w:val="none" w:sz="0" w:space="0" w:color="auto"/>
                <w:right w:val="none" w:sz="0" w:space="0" w:color="auto"/>
                <w:between w:val="none" w:sz="0" w:space="0" w:color="auto"/>
              </w:pBdr>
              <w:spacing w:before="0"/>
              <w:jc w:val="left"/>
              <w:rPr>
                <w:rFonts w:eastAsia="Times New Roman"/>
                <w:color w:val="000000"/>
                <w:spacing w:val="0"/>
                <w:lang w:eastAsia="zh-CN"/>
              </w:rPr>
            </w:pPr>
            <w:r w:rsidRPr="00F41258">
              <w:rPr>
                <w:rFonts w:eastAsia="Times New Roman"/>
                <w:color w:val="000000"/>
                <w:spacing w:val="0"/>
                <w:lang w:eastAsia="zh-CN"/>
              </w:rPr>
              <w:t>Brennstoffzellenheizung</w:t>
            </w:r>
          </w:p>
        </w:tc>
        <w:tc>
          <w:tcPr>
            <w:tcW w:w="1276" w:type="dxa"/>
            <w:tcBorders>
              <w:top w:val="nil"/>
              <w:left w:val="single" w:sz="4" w:space="0" w:color="auto"/>
              <w:bottom w:val="nil"/>
              <w:right w:val="single" w:sz="4" w:space="0" w:color="auto"/>
            </w:tcBorders>
            <w:shd w:val="clear" w:color="auto" w:fill="auto"/>
            <w:noWrap/>
            <w:vAlign w:val="center"/>
          </w:tcPr>
          <w:p w14:paraId="0BDD363C" w14:textId="06F89C47" w:rsidR="00885CC7" w:rsidRPr="00F41258" w:rsidRDefault="00885CC7" w:rsidP="00885CC7">
            <w:pPr>
              <w:pBdr>
                <w:top w:val="none" w:sz="0" w:space="0" w:color="auto"/>
                <w:left w:val="none" w:sz="0" w:space="0" w:color="auto"/>
                <w:bottom w:val="none" w:sz="0" w:space="0" w:color="auto"/>
                <w:right w:val="none" w:sz="0" w:space="0" w:color="auto"/>
                <w:between w:val="none" w:sz="0" w:space="0" w:color="auto"/>
              </w:pBdr>
              <w:spacing w:before="0"/>
              <w:jc w:val="center"/>
              <w:rPr>
                <w:rFonts w:eastAsia="Times New Roman"/>
                <w:color w:val="000000"/>
                <w:spacing w:val="0"/>
                <w:lang w:eastAsia="zh-CN"/>
              </w:rPr>
            </w:pPr>
            <w:r w:rsidRPr="00F41258">
              <w:rPr>
                <w:rFonts w:eastAsia="Times New Roman"/>
                <w:color w:val="000000"/>
                <w:spacing w:val="0"/>
                <w:lang w:eastAsia="zh-CN"/>
              </w:rPr>
              <w:t>30%</w:t>
            </w:r>
          </w:p>
        </w:tc>
        <w:tc>
          <w:tcPr>
            <w:tcW w:w="1277" w:type="dxa"/>
            <w:tcBorders>
              <w:top w:val="nil"/>
              <w:left w:val="nil"/>
              <w:bottom w:val="nil"/>
              <w:right w:val="single" w:sz="4" w:space="0" w:color="auto"/>
            </w:tcBorders>
            <w:shd w:val="clear" w:color="auto" w:fill="auto"/>
            <w:noWrap/>
            <w:vAlign w:val="center"/>
          </w:tcPr>
          <w:p w14:paraId="407640A9" w14:textId="0A900153" w:rsidR="00885CC7" w:rsidRPr="00F41258" w:rsidRDefault="00885CC7" w:rsidP="00885CC7">
            <w:pPr>
              <w:pBdr>
                <w:top w:val="none" w:sz="0" w:space="0" w:color="auto"/>
                <w:left w:val="none" w:sz="0" w:space="0" w:color="auto"/>
                <w:bottom w:val="none" w:sz="0" w:space="0" w:color="auto"/>
                <w:right w:val="none" w:sz="0" w:space="0" w:color="auto"/>
                <w:between w:val="none" w:sz="0" w:space="0" w:color="auto"/>
              </w:pBdr>
              <w:spacing w:before="0"/>
              <w:jc w:val="center"/>
              <w:rPr>
                <w:rFonts w:eastAsia="Times New Roman"/>
                <w:color w:val="000000"/>
                <w:spacing w:val="0"/>
                <w:lang w:eastAsia="zh-CN"/>
              </w:rPr>
            </w:pPr>
            <w:r w:rsidRPr="00F41258">
              <w:rPr>
                <w:rFonts w:eastAsia="Times New Roman"/>
                <w:color w:val="000000"/>
                <w:spacing w:val="0"/>
                <w:lang w:eastAsia="zh-CN"/>
              </w:rPr>
              <w:t> </w:t>
            </w:r>
          </w:p>
        </w:tc>
        <w:tc>
          <w:tcPr>
            <w:tcW w:w="1276" w:type="dxa"/>
            <w:tcBorders>
              <w:top w:val="nil"/>
              <w:left w:val="nil"/>
              <w:bottom w:val="nil"/>
              <w:right w:val="single" w:sz="4" w:space="0" w:color="auto"/>
            </w:tcBorders>
            <w:shd w:val="clear" w:color="auto" w:fill="auto"/>
            <w:noWrap/>
            <w:vAlign w:val="center"/>
          </w:tcPr>
          <w:p w14:paraId="139B7B53" w14:textId="518F831A" w:rsidR="00885CC7" w:rsidRPr="00F41258" w:rsidRDefault="00885CC7" w:rsidP="00885CC7">
            <w:pPr>
              <w:pBdr>
                <w:top w:val="none" w:sz="0" w:space="0" w:color="auto"/>
                <w:left w:val="none" w:sz="0" w:space="0" w:color="auto"/>
                <w:bottom w:val="none" w:sz="0" w:space="0" w:color="auto"/>
                <w:right w:val="none" w:sz="0" w:space="0" w:color="auto"/>
                <w:between w:val="none" w:sz="0" w:space="0" w:color="auto"/>
              </w:pBdr>
              <w:spacing w:before="0"/>
              <w:jc w:val="center"/>
              <w:rPr>
                <w:rFonts w:eastAsia="Times New Roman"/>
                <w:color w:val="000000"/>
                <w:spacing w:val="0"/>
                <w:lang w:eastAsia="zh-CN"/>
              </w:rPr>
            </w:pPr>
            <w:r w:rsidRPr="00F41258">
              <w:rPr>
                <w:rFonts w:eastAsia="Times New Roman"/>
                <w:color w:val="000000"/>
                <w:spacing w:val="0"/>
                <w:lang w:eastAsia="zh-CN"/>
              </w:rPr>
              <w:t> </w:t>
            </w:r>
          </w:p>
        </w:tc>
        <w:tc>
          <w:tcPr>
            <w:tcW w:w="1277" w:type="dxa"/>
            <w:tcBorders>
              <w:top w:val="nil"/>
              <w:left w:val="nil"/>
              <w:bottom w:val="nil"/>
              <w:right w:val="single" w:sz="4" w:space="0" w:color="auto"/>
            </w:tcBorders>
            <w:shd w:val="clear" w:color="auto" w:fill="auto"/>
            <w:noWrap/>
            <w:vAlign w:val="center"/>
          </w:tcPr>
          <w:p w14:paraId="4ED6D028" w14:textId="09A54DE5" w:rsidR="00885CC7" w:rsidRPr="00F41258" w:rsidRDefault="00885CC7" w:rsidP="00885CC7">
            <w:pPr>
              <w:pBdr>
                <w:top w:val="none" w:sz="0" w:space="0" w:color="auto"/>
                <w:left w:val="none" w:sz="0" w:space="0" w:color="auto"/>
                <w:bottom w:val="none" w:sz="0" w:space="0" w:color="auto"/>
                <w:right w:val="none" w:sz="0" w:space="0" w:color="auto"/>
                <w:between w:val="none" w:sz="0" w:space="0" w:color="auto"/>
              </w:pBdr>
              <w:spacing w:before="0"/>
              <w:jc w:val="center"/>
              <w:rPr>
                <w:rFonts w:eastAsia="Times New Roman"/>
                <w:color w:val="000000"/>
                <w:spacing w:val="0"/>
                <w:lang w:eastAsia="zh-CN"/>
              </w:rPr>
            </w:pPr>
            <w:r w:rsidRPr="00F41258">
              <w:rPr>
                <w:rFonts w:eastAsia="Times New Roman"/>
                <w:color w:val="000000"/>
                <w:spacing w:val="0"/>
                <w:lang w:eastAsia="zh-CN"/>
              </w:rPr>
              <w:t>20%</w:t>
            </w:r>
          </w:p>
        </w:tc>
        <w:tc>
          <w:tcPr>
            <w:tcW w:w="1278" w:type="dxa"/>
            <w:tcBorders>
              <w:top w:val="nil"/>
              <w:left w:val="nil"/>
              <w:bottom w:val="nil"/>
              <w:right w:val="single" w:sz="4" w:space="0" w:color="auto"/>
            </w:tcBorders>
            <w:vAlign w:val="center"/>
          </w:tcPr>
          <w:p w14:paraId="2BE2918C" w14:textId="25AA0EAE" w:rsidR="00885CC7" w:rsidRPr="00F41258" w:rsidRDefault="00885CC7" w:rsidP="00885CC7">
            <w:pPr>
              <w:pBdr>
                <w:top w:val="none" w:sz="0" w:space="0" w:color="auto"/>
                <w:left w:val="none" w:sz="0" w:space="0" w:color="auto"/>
                <w:bottom w:val="none" w:sz="0" w:space="0" w:color="auto"/>
                <w:right w:val="none" w:sz="0" w:space="0" w:color="auto"/>
                <w:between w:val="none" w:sz="0" w:space="0" w:color="auto"/>
              </w:pBdr>
              <w:spacing w:before="0"/>
              <w:jc w:val="center"/>
              <w:rPr>
                <w:rFonts w:eastAsia="Times New Roman"/>
                <w:color w:val="000000"/>
                <w:spacing w:val="0"/>
                <w:lang w:eastAsia="zh-CN"/>
              </w:rPr>
            </w:pPr>
            <w:r w:rsidRPr="00F41258">
              <w:rPr>
                <w:rFonts w:eastAsia="Times New Roman"/>
                <w:color w:val="000000"/>
                <w:spacing w:val="0"/>
                <w:lang w:eastAsia="zh-CN"/>
              </w:rPr>
              <w:t>30%</w:t>
            </w:r>
          </w:p>
        </w:tc>
      </w:tr>
      <w:tr w:rsidR="00885CC7" w:rsidRPr="00F41258" w14:paraId="19FE55EA" w14:textId="77777777" w:rsidTr="00E327CF">
        <w:trPr>
          <w:trHeight w:val="300"/>
        </w:trPr>
        <w:tc>
          <w:tcPr>
            <w:tcW w:w="2694" w:type="dxa"/>
            <w:tcBorders>
              <w:top w:val="nil"/>
              <w:left w:val="single" w:sz="4" w:space="0" w:color="auto"/>
              <w:bottom w:val="nil"/>
              <w:right w:val="nil"/>
            </w:tcBorders>
            <w:shd w:val="clear" w:color="auto" w:fill="auto"/>
            <w:noWrap/>
            <w:vAlign w:val="center"/>
          </w:tcPr>
          <w:p w14:paraId="6A0C23E4" w14:textId="0801DD71" w:rsidR="00885CC7" w:rsidRPr="00F41258" w:rsidRDefault="00885CC7" w:rsidP="00885CC7">
            <w:pPr>
              <w:pBdr>
                <w:top w:val="none" w:sz="0" w:space="0" w:color="auto"/>
                <w:left w:val="none" w:sz="0" w:space="0" w:color="auto"/>
                <w:bottom w:val="none" w:sz="0" w:space="0" w:color="auto"/>
                <w:right w:val="none" w:sz="0" w:space="0" w:color="auto"/>
                <w:between w:val="none" w:sz="0" w:space="0" w:color="auto"/>
              </w:pBdr>
              <w:spacing w:before="0"/>
              <w:jc w:val="left"/>
              <w:rPr>
                <w:rFonts w:eastAsia="Times New Roman"/>
                <w:color w:val="000000"/>
                <w:spacing w:val="0"/>
                <w:lang w:eastAsia="zh-CN"/>
              </w:rPr>
            </w:pPr>
            <w:r w:rsidRPr="00F41258">
              <w:rPr>
                <w:rFonts w:eastAsia="Times New Roman"/>
                <w:color w:val="000000"/>
                <w:spacing w:val="0"/>
                <w:lang w:eastAsia="zh-CN"/>
              </w:rPr>
              <w:t>Wasserstofffähige Heizung (Investitionsmehrkosten)</w:t>
            </w:r>
          </w:p>
        </w:tc>
        <w:tc>
          <w:tcPr>
            <w:tcW w:w="1276" w:type="dxa"/>
            <w:tcBorders>
              <w:top w:val="nil"/>
              <w:left w:val="single" w:sz="4" w:space="0" w:color="auto"/>
              <w:bottom w:val="nil"/>
              <w:right w:val="single" w:sz="4" w:space="0" w:color="auto"/>
            </w:tcBorders>
            <w:shd w:val="clear" w:color="auto" w:fill="auto"/>
            <w:noWrap/>
            <w:vAlign w:val="center"/>
          </w:tcPr>
          <w:p w14:paraId="6EC9CA0D" w14:textId="4A98DC51" w:rsidR="00885CC7" w:rsidRPr="00F41258" w:rsidRDefault="00885CC7" w:rsidP="00885CC7">
            <w:pPr>
              <w:pBdr>
                <w:top w:val="none" w:sz="0" w:space="0" w:color="auto"/>
                <w:left w:val="none" w:sz="0" w:space="0" w:color="auto"/>
                <w:bottom w:val="none" w:sz="0" w:space="0" w:color="auto"/>
                <w:right w:val="none" w:sz="0" w:space="0" w:color="auto"/>
                <w:between w:val="none" w:sz="0" w:space="0" w:color="auto"/>
              </w:pBdr>
              <w:spacing w:before="0"/>
              <w:jc w:val="center"/>
              <w:rPr>
                <w:rFonts w:eastAsia="Times New Roman"/>
                <w:color w:val="000000"/>
                <w:spacing w:val="0"/>
                <w:lang w:eastAsia="zh-CN"/>
              </w:rPr>
            </w:pPr>
            <w:r w:rsidRPr="00F41258">
              <w:rPr>
                <w:rFonts w:eastAsia="Times New Roman"/>
                <w:color w:val="000000"/>
                <w:spacing w:val="0"/>
                <w:lang w:eastAsia="zh-CN"/>
              </w:rPr>
              <w:t>30%</w:t>
            </w:r>
          </w:p>
        </w:tc>
        <w:tc>
          <w:tcPr>
            <w:tcW w:w="1277" w:type="dxa"/>
            <w:tcBorders>
              <w:top w:val="nil"/>
              <w:left w:val="nil"/>
              <w:bottom w:val="nil"/>
              <w:right w:val="single" w:sz="4" w:space="0" w:color="auto"/>
            </w:tcBorders>
            <w:shd w:val="clear" w:color="auto" w:fill="auto"/>
            <w:noWrap/>
            <w:vAlign w:val="center"/>
          </w:tcPr>
          <w:p w14:paraId="4E5947F6" w14:textId="591B6EA1" w:rsidR="00885CC7" w:rsidRPr="00F41258" w:rsidRDefault="00885CC7" w:rsidP="00885CC7">
            <w:pPr>
              <w:pBdr>
                <w:top w:val="none" w:sz="0" w:space="0" w:color="auto"/>
                <w:left w:val="none" w:sz="0" w:space="0" w:color="auto"/>
                <w:bottom w:val="none" w:sz="0" w:space="0" w:color="auto"/>
                <w:right w:val="none" w:sz="0" w:space="0" w:color="auto"/>
                <w:between w:val="none" w:sz="0" w:space="0" w:color="auto"/>
              </w:pBdr>
              <w:spacing w:before="0"/>
              <w:jc w:val="center"/>
              <w:rPr>
                <w:rFonts w:eastAsia="Times New Roman"/>
                <w:color w:val="000000"/>
                <w:spacing w:val="0"/>
                <w:lang w:eastAsia="zh-CN"/>
              </w:rPr>
            </w:pPr>
          </w:p>
        </w:tc>
        <w:tc>
          <w:tcPr>
            <w:tcW w:w="1276" w:type="dxa"/>
            <w:tcBorders>
              <w:top w:val="nil"/>
              <w:left w:val="nil"/>
              <w:bottom w:val="nil"/>
              <w:right w:val="single" w:sz="4" w:space="0" w:color="auto"/>
            </w:tcBorders>
            <w:shd w:val="clear" w:color="auto" w:fill="auto"/>
            <w:noWrap/>
            <w:vAlign w:val="center"/>
          </w:tcPr>
          <w:p w14:paraId="522A904B" w14:textId="3F346BE1" w:rsidR="00885CC7" w:rsidRPr="00F41258" w:rsidRDefault="00885CC7" w:rsidP="00885CC7">
            <w:pPr>
              <w:pBdr>
                <w:top w:val="none" w:sz="0" w:space="0" w:color="auto"/>
                <w:left w:val="none" w:sz="0" w:space="0" w:color="auto"/>
                <w:bottom w:val="none" w:sz="0" w:space="0" w:color="auto"/>
                <w:right w:val="none" w:sz="0" w:space="0" w:color="auto"/>
                <w:between w:val="none" w:sz="0" w:space="0" w:color="auto"/>
              </w:pBdr>
              <w:spacing w:before="0"/>
              <w:jc w:val="center"/>
              <w:rPr>
                <w:rFonts w:eastAsia="Times New Roman"/>
                <w:color w:val="000000"/>
                <w:spacing w:val="0"/>
                <w:lang w:eastAsia="zh-CN"/>
              </w:rPr>
            </w:pPr>
          </w:p>
        </w:tc>
        <w:tc>
          <w:tcPr>
            <w:tcW w:w="1277" w:type="dxa"/>
            <w:tcBorders>
              <w:top w:val="nil"/>
              <w:left w:val="nil"/>
              <w:bottom w:val="nil"/>
              <w:right w:val="single" w:sz="4" w:space="0" w:color="auto"/>
            </w:tcBorders>
            <w:shd w:val="clear" w:color="auto" w:fill="auto"/>
            <w:noWrap/>
            <w:vAlign w:val="center"/>
          </w:tcPr>
          <w:p w14:paraId="45EE649D" w14:textId="6548E5F7" w:rsidR="00885CC7" w:rsidRPr="00F41258" w:rsidRDefault="00885CC7" w:rsidP="00885CC7">
            <w:pPr>
              <w:pBdr>
                <w:top w:val="none" w:sz="0" w:space="0" w:color="auto"/>
                <w:left w:val="none" w:sz="0" w:space="0" w:color="auto"/>
                <w:bottom w:val="none" w:sz="0" w:space="0" w:color="auto"/>
                <w:right w:val="none" w:sz="0" w:space="0" w:color="auto"/>
                <w:between w:val="none" w:sz="0" w:space="0" w:color="auto"/>
              </w:pBdr>
              <w:spacing w:before="0"/>
              <w:jc w:val="center"/>
              <w:rPr>
                <w:rFonts w:eastAsia="Times New Roman"/>
                <w:color w:val="000000"/>
                <w:spacing w:val="0"/>
                <w:lang w:eastAsia="zh-CN"/>
              </w:rPr>
            </w:pPr>
            <w:r w:rsidRPr="00F41258">
              <w:rPr>
                <w:rFonts w:eastAsia="Times New Roman"/>
                <w:color w:val="000000"/>
                <w:spacing w:val="0"/>
                <w:lang w:eastAsia="zh-CN"/>
              </w:rPr>
              <w:t>20%</w:t>
            </w:r>
          </w:p>
        </w:tc>
        <w:tc>
          <w:tcPr>
            <w:tcW w:w="1278" w:type="dxa"/>
            <w:tcBorders>
              <w:top w:val="nil"/>
              <w:left w:val="nil"/>
              <w:bottom w:val="nil"/>
              <w:right w:val="single" w:sz="4" w:space="0" w:color="auto"/>
            </w:tcBorders>
            <w:vAlign w:val="center"/>
          </w:tcPr>
          <w:p w14:paraId="57383FBF" w14:textId="38AB2D11" w:rsidR="00885CC7" w:rsidRPr="00F41258" w:rsidRDefault="00885CC7" w:rsidP="00885CC7">
            <w:pPr>
              <w:pBdr>
                <w:top w:val="none" w:sz="0" w:space="0" w:color="auto"/>
                <w:left w:val="none" w:sz="0" w:space="0" w:color="auto"/>
                <w:bottom w:val="none" w:sz="0" w:space="0" w:color="auto"/>
                <w:right w:val="none" w:sz="0" w:space="0" w:color="auto"/>
                <w:between w:val="none" w:sz="0" w:space="0" w:color="auto"/>
              </w:pBdr>
              <w:spacing w:before="0"/>
              <w:jc w:val="center"/>
              <w:rPr>
                <w:rFonts w:eastAsia="Times New Roman"/>
                <w:color w:val="000000"/>
                <w:spacing w:val="0"/>
                <w:lang w:eastAsia="zh-CN"/>
              </w:rPr>
            </w:pPr>
            <w:r w:rsidRPr="00F41258">
              <w:rPr>
                <w:rFonts w:eastAsia="Times New Roman"/>
                <w:color w:val="000000"/>
                <w:spacing w:val="0"/>
                <w:lang w:eastAsia="zh-CN"/>
              </w:rPr>
              <w:t>30%</w:t>
            </w:r>
          </w:p>
        </w:tc>
      </w:tr>
      <w:tr w:rsidR="00885CC7" w:rsidRPr="00F41258" w14:paraId="1ED8B671" w14:textId="77777777" w:rsidTr="00E327CF">
        <w:trPr>
          <w:trHeight w:val="300"/>
        </w:trPr>
        <w:tc>
          <w:tcPr>
            <w:tcW w:w="2694" w:type="dxa"/>
            <w:tcBorders>
              <w:top w:val="nil"/>
              <w:left w:val="single" w:sz="4" w:space="0" w:color="auto"/>
              <w:bottom w:val="nil"/>
              <w:right w:val="nil"/>
            </w:tcBorders>
            <w:shd w:val="clear" w:color="auto" w:fill="auto"/>
            <w:noWrap/>
            <w:vAlign w:val="center"/>
            <w:hideMark/>
          </w:tcPr>
          <w:p w14:paraId="607514C1" w14:textId="77777777" w:rsidR="00885CC7" w:rsidRPr="00F41258" w:rsidRDefault="00885CC7" w:rsidP="00885CC7">
            <w:pPr>
              <w:pBdr>
                <w:top w:val="none" w:sz="0" w:space="0" w:color="auto"/>
                <w:left w:val="none" w:sz="0" w:space="0" w:color="auto"/>
                <w:bottom w:val="none" w:sz="0" w:space="0" w:color="auto"/>
                <w:right w:val="none" w:sz="0" w:space="0" w:color="auto"/>
                <w:between w:val="none" w:sz="0" w:space="0" w:color="auto"/>
              </w:pBdr>
              <w:spacing w:before="0"/>
              <w:jc w:val="left"/>
              <w:rPr>
                <w:rFonts w:eastAsia="Times New Roman"/>
                <w:color w:val="000000"/>
                <w:spacing w:val="0"/>
                <w:lang w:eastAsia="zh-CN"/>
              </w:rPr>
            </w:pPr>
            <w:r w:rsidRPr="00F41258">
              <w:rPr>
                <w:rFonts w:eastAsia="Times New Roman"/>
                <w:color w:val="000000"/>
                <w:spacing w:val="0"/>
                <w:lang w:eastAsia="zh-CN"/>
              </w:rPr>
              <w:t>Innovative Heizungstechnik</w:t>
            </w:r>
          </w:p>
        </w:tc>
        <w:tc>
          <w:tcPr>
            <w:tcW w:w="1276" w:type="dxa"/>
            <w:tcBorders>
              <w:top w:val="nil"/>
              <w:left w:val="single" w:sz="4" w:space="0" w:color="auto"/>
              <w:bottom w:val="nil"/>
              <w:right w:val="single" w:sz="4" w:space="0" w:color="auto"/>
            </w:tcBorders>
            <w:shd w:val="clear" w:color="auto" w:fill="auto"/>
            <w:noWrap/>
            <w:vAlign w:val="center"/>
          </w:tcPr>
          <w:p w14:paraId="06AA1858" w14:textId="091E0C44" w:rsidR="00885CC7" w:rsidRPr="00F41258" w:rsidRDefault="00885CC7" w:rsidP="00885CC7">
            <w:pPr>
              <w:pBdr>
                <w:top w:val="none" w:sz="0" w:space="0" w:color="auto"/>
                <w:left w:val="none" w:sz="0" w:space="0" w:color="auto"/>
                <w:bottom w:val="none" w:sz="0" w:space="0" w:color="auto"/>
                <w:right w:val="none" w:sz="0" w:space="0" w:color="auto"/>
                <w:between w:val="none" w:sz="0" w:space="0" w:color="auto"/>
              </w:pBdr>
              <w:spacing w:before="0"/>
              <w:jc w:val="center"/>
              <w:rPr>
                <w:rFonts w:eastAsia="Times New Roman"/>
                <w:color w:val="000000"/>
                <w:spacing w:val="0"/>
                <w:lang w:eastAsia="zh-CN"/>
              </w:rPr>
            </w:pPr>
            <w:r w:rsidRPr="00F41258">
              <w:rPr>
                <w:rFonts w:eastAsia="Times New Roman"/>
                <w:color w:val="000000"/>
                <w:spacing w:val="0"/>
                <w:lang w:eastAsia="zh-CN"/>
              </w:rPr>
              <w:t>30%</w:t>
            </w:r>
          </w:p>
        </w:tc>
        <w:tc>
          <w:tcPr>
            <w:tcW w:w="1277" w:type="dxa"/>
            <w:tcBorders>
              <w:top w:val="nil"/>
              <w:left w:val="nil"/>
              <w:bottom w:val="nil"/>
              <w:right w:val="single" w:sz="4" w:space="0" w:color="auto"/>
            </w:tcBorders>
            <w:shd w:val="clear" w:color="auto" w:fill="auto"/>
            <w:noWrap/>
            <w:vAlign w:val="center"/>
            <w:hideMark/>
          </w:tcPr>
          <w:p w14:paraId="46748E7B" w14:textId="77777777" w:rsidR="00885CC7" w:rsidRPr="00F41258" w:rsidRDefault="00885CC7" w:rsidP="00885CC7">
            <w:pPr>
              <w:pBdr>
                <w:top w:val="none" w:sz="0" w:space="0" w:color="auto"/>
                <w:left w:val="none" w:sz="0" w:space="0" w:color="auto"/>
                <w:bottom w:val="none" w:sz="0" w:space="0" w:color="auto"/>
                <w:right w:val="none" w:sz="0" w:space="0" w:color="auto"/>
                <w:between w:val="none" w:sz="0" w:space="0" w:color="auto"/>
              </w:pBdr>
              <w:spacing w:before="0"/>
              <w:jc w:val="center"/>
              <w:rPr>
                <w:rFonts w:eastAsia="Times New Roman"/>
                <w:color w:val="000000"/>
                <w:spacing w:val="0"/>
                <w:lang w:eastAsia="zh-CN"/>
              </w:rPr>
            </w:pPr>
            <w:r w:rsidRPr="00F41258">
              <w:rPr>
                <w:rFonts w:eastAsia="Times New Roman"/>
                <w:color w:val="000000"/>
                <w:spacing w:val="0"/>
                <w:lang w:eastAsia="zh-CN"/>
              </w:rPr>
              <w:t> </w:t>
            </w:r>
          </w:p>
        </w:tc>
        <w:tc>
          <w:tcPr>
            <w:tcW w:w="1276" w:type="dxa"/>
            <w:tcBorders>
              <w:top w:val="nil"/>
              <w:left w:val="nil"/>
              <w:bottom w:val="nil"/>
              <w:right w:val="single" w:sz="4" w:space="0" w:color="auto"/>
            </w:tcBorders>
            <w:shd w:val="clear" w:color="auto" w:fill="auto"/>
            <w:noWrap/>
            <w:vAlign w:val="center"/>
          </w:tcPr>
          <w:p w14:paraId="008AEC77" w14:textId="664D684D" w:rsidR="00885CC7" w:rsidRPr="00F41258" w:rsidRDefault="00885CC7" w:rsidP="00885CC7">
            <w:pPr>
              <w:pBdr>
                <w:top w:val="none" w:sz="0" w:space="0" w:color="auto"/>
                <w:left w:val="none" w:sz="0" w:space="0" w:color="auto"/>
                <w:bottom w:val="none" w:sz="0" w:space="0" w:color="auto"/>
                <w:right w:val="none" w:sz="0" w:space="0" w:color="auto"/>
                <w:between w:val="none" w:sz="0" w:space="0" w:color="auto"/>
              </w:pBdr>
              <w:spacing w:before="0"/>
              <w:jc w:val="center"/>
              <w:rPr>
                <w:rFonts w:eastAsia="Times New Roman"/>
                <w:color w:val="000000"/>
                <w:spacing w:val="0"/>
                <w:lang w:eastAsia="zh-CN"/>
              </w:rPr>
            </w:pPr>
            <w:r w:rsidRPr="00F41258">
              <w:rPr>
                <w:rFonts w:eastAsia="Times New Roman"/>
                <w:color w:val="000000"/>
                <w:spacing w:val="0"/>
                <w:lang w:eastAsia="zh-CN"/>
              </w:rPr>
              <w:t> </w:t>
            </w:r>
          </w:p>
        </w:tc>
        <w:tc>
          <w:tcPr>
            <w:tcW w:w="1277" w:type="dxa"/>
            <w:tcBorders>
              <w:top w:val="nil"/>
              <w:left w:val="nil"/>
              <w:bottom w:val="nil"/>
              <w:right w:val="single" w:sz="4" w:space="0" w:color="auto"/>
            </w:tcBorders>
            <w:shd w:val="clear" w:color="auto" w:fill="auto"/>
            <w:noWrap/>
            <w:vAlign w:val="center"/>
          </w:tcPr>
          <w:p w14:paraId="6C9E344B" w14:textId="3F8275DF" w:rsidR="00885CC7" w:rsidRPr="00F41258" w:rsidRDefault="00885CC7" w:rsidP="00885CC7">
            <w:pPr>
              <w:pBdr>
                <w:top w:val="none" w:sz="0" w:space="0" w:color="auto"/>
                <w:left w:val="none" w:sz="0" w:space="0" w:color="auto"/>
                <w:bottom w:val="none" w:sz="0" w:space="0" w:color="auto"/>
                <w:right w:val="none" w:sz="0" w:space="0" w:color="auto"/>
                <w:between w:val="none" w:sz="0" w:space="0" w:color="auto"/>
              </w:pBdr>
              <w:spacing w:before="0"/>
              <w:jc w:val="center"/>
              <w:rPr>
                <w:rFonts w:eastAsia="Times New Roman"/>
                <w:color w:val="000000"/>
                <w:spacing w:val="0"/>
                <w:lang w:eastAsia="zh-CN"/>
              </w:rPr>
            </w:pPr>
            <w:r w:rsidRPr="00F41258">
              <w:rPr>
                <w:rFonts w:eastAsia="Times New Roman"/>
                <w:color w:val="000000"/>
                <w:spacing w:val="0"/>
                <w:lang w:eastAsia="zh-CN"/>
              </w:rPr>
              <w:t>20%</w:t>
            </w:r>
          </w:p>
        </w:tc>
        <w:tc>
          <w:tcPr>
            <w:tcW w:w="1278" w:type="dxa"/>
            <w:tcBorders>
              <w:top w:val="nil"/>
              <w:left w:val="nil"/>
              <w:bottom w:val="nil"/>
              <w:right w:val="single" w:sz="4" w:space="0" w:color="auto"/>
            </w:tcBorders>
            <w:vAlign w:val="center"/>
          </w:tcPr>
          <w:p w14:paraId="25CA3CC8" w14:textId="780E1345" w:rsidR="00885CC7" w:rsidRPr="00F41258" w:rsidRDefault="00885CC7" w:rsidP="00885CC7">
            <w:pPr>
              <w:pBdr>
                <w:top w:val="none" w:sz="0" w:space="0" w:color="auto"/>
                <w:left w:val="none" w:sz="0" w:space="0" w:color="auto"/>
                <w:bottom w:val="none" w:sz="0" w:space="0" w:color="auto"/>
                <w:right w:val="none" w:sz="0" w:space="0" w:color="auto"/>
                <w:between w:val="none" w:sz="0" w:space="0" w:color="auto"/>
              </w:pBdr>
              <w:spacing w:before="0"/>
              <w:jc w:val="center"/>
              <w:rPr>
                <w:rFonts w:eastAsia="Times New Roman"/>
                <w:color w:val="000000"/>
                <w:spacing w:val="0"/>
                <w:lang w:eastAsia="zh-CN"/>
              </w:rPr>
            </w:pPr>
            <w:r w:rsidRPr="00F41258">
              <w:rPr>
                <w:rFonts w:eastAsia="Times New Roman"/>
                <w:color w:val="000000"/>
                <w:spacing w:val="0"/>
                <w:lang w:eastAsia="zh-CN"/>
              </w:rPr>
              <w:t>30%</w:t>
            </w:r>
          </w:p>
        </w:tc>
      </w:tr>
      <w:tr w:rsidR="00885CC7" w:rsidRPr="00F41258" w14:paraId="567360A6" w14:textId="77777777" w:rsidTr="00E327CF">
        <w:trPr>
          <w:trHeight w:val="300"/>
        </w:trPr>
        <w:tc>
          <w:tcPr>
            <w:tcW w:w="2694" w:type="dxa"/>
            <w:tcBorders>
              <w:top w:val="nil"/>
              <w:left w:val="single" w:sz="4" w:space="0" w:color="auto"/>
              <w:bottom w:val="nil"/>
              <w:right w:val="nil"/>
            </w:tcBorders>
            <w:shd w:val="clear" w:color="auto" w:fill="auto"/>
            <w:noWrap/>
            <w:vAlign w:val="center"/>
          </w:tcPr>
          <w:p w14:paraId="430B8B28" w14:textId="2A1DC137" w:rsidR="00885CC7" w:rsidRPr="00F41258" w:rsidRDefault="00885CC7" w:rsidP="00885CC7">
            <w:pPr>
              <w:pBdr>
                <w:top w:val="none" w:sz="0" w:space="0" w:color="auto"/>
                <w:left w:val="none" w:sz="0" w:space="0" w:color="auto"/>
                <w:bottom w:val="none" w:sz="0" w:space="0" w:color="auto"/>
                <w:right w:val="none" w:sz="0" w:space="0" w:color="auto"/>
                <w:between w:val="none" w:sz="0" w:space="0" w:color="auto"/>
              </w:pBdr>
              <w:spacing w:before="0"/>
              <w:jc w:val="left"/>
              <w:rPr>
                <w:rFonts w:eastAsia="Times New Roman"/>
                <w:color w:val="000000"/>
                <w:spacing w:val="0"/>
                <w:lang w:eastAsia="zh-CN"/>
              </w:rPr>
            </w:pPr>
            <w:r w:rsidRPr="00F41258">
              <w:rPr>
                <w:rFonts w:eastAsia="Times New Roman"/>
                <w:color w:val="000000"/>
                <w:spacing w:val="0"/>
                <w:lang w:eastAsia="zh-CN"/>
              </w:rPr>
              <w:t xml:space="preserve">Errichtung, Umbau, Erweiterung Gebäudenetz </w:t>
            </w:r>
          </w:p>
        </w:tc>
        <w:tc>
          <w:tcPr>
            <w:tcW w:w="1276" w:type="dxa"/>
            <w:tcBorders>
              <w:top w:val="nil"/>
              <w:left w:val="single" w:sz="4" w:space="0" w:color="auto"/>
              <w:bottom w:val="nil"/>
              <w:right w:val="single" w:sz="4" w:space="0" w:color="auto"/>
            </w:tcBorders>
            <w:shd w:val="clear" w:color="auto" w:fill="auto"/>
            <w:noWrap/>
            <w:vAlign w:val="center"/>
          </w:tcPr>
          <w:p w14:paraId="2CE64BAF" w14:textId="35A045A1" w:rsidR="00885CC7" w:rsidRPr="00F41258" w:rsidRDefault="00885CC7" w:rsidP="00885CC7">
            <w:pPr>
              <w:pBdr>
                <w:top w:val="none" w:sz="0" w:space="0" w:color="auto"/>
                <w:left w:val="none" w:sz="0" w:space="0" w:color="auto"/>
                <w:bottom w:val="none" w:sz="0" w:space="0" w:color="auto"/>
                <w:right w:val="none" w:sz="0" w:space="0" w:color="auto"/>
                <w:between w:val="none" w:sz="0" w:space="0" w:color="auto"/>
              </w:pBdr>
              <w:spacing w:before="0"/>
              <w:jc w:val="center"/>
              <w:rPr>
                <w:rFonts w:eastAsia="Times New Roman"/>
                <w:color w:val="000000"/>
                <w:spacing w:val="0"/>
                <w:lang w:eastAsia="zh-CN"/>
              </w:rPr>
            </w:pPr>
            <w:r w:rsidRPr="00F41258">
              <w:rPr>
                <w:rFonts w:eastAsia="Times New Roman"/>
                <w:color w:val="000000"/>
                <w:spacing w:val="0"/>
                <w:lang w:eastAsia="zh-CN"/>
              </w:rPr>
              <w:t>30%</w:t>
            </w:r>
          </w:p>
        </w:tc>
        <w:tc>
          <w:tcPr>
            <w:tcW w:w="1277" w:type="dxa"/>
            <w:tcBorders>
              <w:top w:val="nil"/>
              <w:left w:val="nil"/>
              <w:bottom w:val="nil"/>
              <w:right w:val="single" w:sz="4" w:space="0" w:color="auto"/>
            </w:tcBorders>
            <w:shd w:val="clear" w:color="auto" w:fill="auto"/>
            <w:noWrap/>
            <w:vAlign w:val="center"/>
          </w:tcPr>
          <w:p w14:paraId="19F23D5C" w14:textId="609BF79F" w:rsidR="00885CC7" w:rsidRPr="00F41258" w:rsidRDefault="00885CC7" w:rsidP="00885CC7">
            <w:pPr>
              <w:pBdr>
                <w:top w:val="none" w:sz="0" w:space="0" w:color="auto"/>
                <w:left w:val="none" w:sz="0" w:space="0" w:color="auto"/>
                <w:bottom w:val="none" w:sz="0" w:space="0" w:color="auto"/>
                <w:right w:val="none" w:sz="0" w:space="0" w:color="auto"/>
                <w:between w:val="none" w:sz="0" w:space="0" w:color="auto"/>
              </w:pBdr>
              <w:spacing w:before="0"/>
              <w:jc w:val="center"/>
              <w:rPr>
                <w:rFonts w:eastAsia="Times New Roman"/>
                <w:color w:val="000000"/>
                <w:spacing w:val="0"/>
                <w:lang w:eastAsia="zh-CN"/>
              </w:rPr>
            </w:pPr>
            <w:r w:rsidRPr="00F41258">
              <w:rPr>
                <w:rFonts w:eastAsia="Times New Roman"/>
                <w:color w:val="000000"/>
                <w:spacing w:val="0"/>
                <w:lang w:eastAsia="zh-CN"/>
              </w:rPr>
              <w:t> </w:t>
            </w:r>
          </w:p>
        </w:tc>
        <w:tc>
          <w:tcPr>
            <w:tcW w:w="1276" w:type="dxa"/>
            <w:tcBorders>
              <w:top w:val="nil"/>
              <w:left w:val="nil"/>
              <w:bottom w:val="nil"/>
              <w:right w:val="single" w:sz="4" w:space="0" w:color="auto"/>
            </w:tcBorders>
            <w:shd w:val="clear" w:color="auto" w:fill="auto"/>
            <w:noWrap/>
            <w:vAlign w:val="center"/>
          </w:tcPr>
          <w:p w14:paraId="7D28C284" w14:textId="5A776933" w:rsidR="00885CC7" w:rsidRPr="00F41258" w:rsidRDefault="00885CC7" w:rsidP="00885CC7">
            <w:pPr>
              <w:pBdr>
                <w:top w:val="none" w:sz="0" w:space="0" w:color="auto"/>
                <w:left w:val="none" w:sz="0" w:space="0" w:color="auto"/>
                <w:bottom w:val="none" w:sz="0" w:space="0" w:color="auto"/>
                <w:right w:val="none" w:sz="0" w:space="0" w:color="auto"/>
                <w:between w:val="none" w:sz="0" w:space="0" w:color="auto"/>
              </w:pBdr>
              <w:spacing w:before="0"/>
              <w:jc w:val="center"/>
              <w:rPr>
                <w:rFonts w:eastAsia="Times New Roman"/>
                <w:color w:val="000000"/>
                <w:spacing w:val="0"/>
                <w:lang w:eastAsia="zh-CN"/>
              </w:rPr>
            </w:pPr>
            <w:r w:rsidRPr="00F41258">
              <w:rPr>
                <w:rFonts w:eastAsia="Times New Roman"/>
                <w:color w:val="000000"/>
                <w:spacing w:val="0"/>
                <w:lang w:eastAsia="zh-CN"/>
              </w:rPr>
              <w:t> </w:t>
            </w:r>
          </w:p>
        </w:tc>
        <w:tc>
          <w:tcPr>
            <w:tcW w:w="1277" w:type="dxa"/>
            <w:tcBorders>
              <w:top w:val="nil"/>
              <w:left w:val="nil"/>
              <w:bottom w:val="nil"/>
              <w:right w:val="single" w:sz="4" w:space="0" w:color="auto"/>
            </w:tcBorders>
            <w:shd w:val="clear" w:color="auto" w:fill="auto"/>
            <w:noWrap/>
            <w:vAlign w:val="center"/>
          </w:tcPr>
          <w:p w14:paraId="1FBB48D4" w14:textId="320BAC95" w:rsidR="00885CC7" w:rsidRPr="00F41258" w:rsidRDefault="00885CC7" w:rsidP="00885CC7">
            <w:pPr>
              <w:pBdr>
                <w:top w:val="none" w:sz="0" w:space="0" w:color="auto"/>
                <w:left w:val="none" w:sz="0" w:space="0" w:color="auto"/>
                <w:bottom w:val="none" w:sz="0" w:space="0" w:color="auto"/>
                <w:right w:val="none" w:sz="0" w:space="0" w:color="auto"/>
                <w:between w:val="none" w:sz="0" w:space="0" w:color="auto"/>
              </w:pBdr>
              <w:spacing w:before="0"/>
              <w:jc w:val="center"/>
              <w:rPr>
                <w:rFonts w:eastAsia="Times New Roman"/>
                <w:color w:val="000000"/>
                <w:spacing w:val="0"/>
                <w:lang w:eastAsia="zh-CN"/>
              </w:rPr>
            </w:pPr>
            <w:r w:rsidRPr="00F41258">
              <w:rPr>
                <w:rFonts w:eastAsia="Times New Roman"/>
                <w:color w:val="000000"/>
                <w:spacing w:val="0"/>
                <w:lang w:eastAsia="zh-CN"/>
              </w:rPr>
              <w:t>20%</w:t>
            </w:r>
          </w:p>
        </w:tc>
        <w:tc>
          <w:tcPr>
            <w:tcW w:w="1278" w:type="dxa"/>
            <w:tcBorders>
              <w:top w:val="nil"/>
              <w:left w:val="nil"/>
              <w:bottom w:val="nil"/>
              <w:right w:val="single" w:sz="4" w:space="0" w:color="auto"/>
            </w:tcBorders>
            <w:vAlign w:val="center"/>
          </w:tcPr>
          <w:p w14:paraId="5DFE4B32" w14:textId="04E8AEEB" w:rsidR="00885CC7" w:rsidRPr="00F41258" w:rsidRDefault="00885CC7" w:rsidP="00885CC7">
            <w:pPr>
              <w:pBdr>
                <w:top w:val="none" w:sz="0" w:space="0" w:color="auto"/>
                <w:left w:val="none" w:sz="0" w:space="0" w:color="auto"/>
                <w:bottom w:val="none" w:sz="0" w:space="0" w:color="auto"/>
                <w:right w:val="none" w:sz="0" w:space="0" w:color="auto"/>
                <w:between w:val="none" w:sz="0" w:space="0" w:color="auto"/>
              </w:pBdr>
              <w:spacing w:before="0"/>
              <w:jc w:val="center"/>
              <w:rPr>
                <w:rFonts w:eastAsia="Times New Roman"/>
                <w:color w:val="000000"/>
                <w:spacing w:val="0"/>
                <w:lang w:eastAsia="zh-CN"/>
              </w:rPr>
            </w:pPr>
            <w:r w:rsidRPr="00F41258">
              <w:rPr>
                <w:rFonts w:eastAsia="Times New Roman"/>
                <w:color w:val="000000"/>
                <w:spacing w:val="0"/>
                <w:lang w:eastAsia="zh-CN"/>
              </w:rPr>
              <w:t>30%</w:t>
            </w:r>
          </w:p>
        </w:tc>
      </w:tr>
      <w:tr w:rsidR="00885CC7" w:rsidRPr="00F41258" w14:paraId="76F85504" w14:textId="77777777" w:rsidTr="00E327CF">
        <w:trPr>
          <w:trHeight w:val="300"/>
        </w:trPr>
        <w:tc>
          <w:tcPr>
            <w:tcW w:w="2694" w:type="dxa"/>
            <w:tcBorders>
              <w:top w:val="nil"/>
              <w:left w:val="single" w:sz="4" w:space="0" w:color="auto"/>
              <w:bottom w:val="nil"/>
              <w:right w:val="nil"/>
            </w:tcBorders>
            <w:shd w:val="clear" w:color="auto" w:fill="auto"/>
            <w:noWrap/>
            <w:vAlign w:val="center"/>
          </w:tcPr>
          <w:p w14:paraId="6CA0958B" w14:textId="1C38A334" w:rsidR="00885CC7" w:rsidRPr="00F41258" w:rsidRDefault="00885CC7" w:rsidP="00885CC7">
            <w:pPr>
              <w:pBdr>
                <w:top w:val="none" w:sz="0" w:space="0" w:color="auto"/>
                <w:left w:val="none" w:sz="0" w:space="0" w:color="auto"/>
                <w:bottom w:val="none" w:sz="0" w:space="0" w:color="auto"/>
                <w:right w:val="none" w:sz="0" w:space="0" w:color="auto"/>
                <w:between w:val="none" w:sz="0" w:space="0" w:color="auto"/>
              </w:pBdr>
              <w:spacing w:before="0"/>
              <w:jc w:val="left"/>
              <w:rPr>
                <w:rFonts w:eastAsia="Times New Roman"/>
                <w:color w:val="000000"/>
                <w:spacing w:val="0"/>
                <w:lang w:eastAsia="zh-CN"/>
              </w:rPr>
            </w:pPr>
            <w:r w:rsidRPr="00F41258">
              <w:rPr>
                <w:rFonts w:eastAsia="Times New Roman"/>
                <w:color w:val="000000"/>
                <w:spacing w:val="0"/>
                <w:lang w:eastAsia="zh-CN"/>
              </w:rPr>
              <w:t>Gebäudenetzanschluss</w:t>
            </w:r>
          </w:p>
        </w:tc>
        <w:tc>
          <w:tcPr>
            <w:tcW w:w="1276" w:type="dxa"/>
            <w:tcBorders>
              <w:top w:val="nil"/>
              <w:left w:val="single" w:sz="4" w:space="0" w:color="auto"/>
              <w:bottom w:val="nil"/>
              <w:right w:val="single" w:sz="4" w:space="0" w:color="auto"/>
            </w:tcBorders>
            <w:shd w:val="clear" w:color="auto" w:fill="auto"/>
            <w:noWrap/>
            <w:vAlign w:val="center"/>
          </w:tcPr>
          <w:p w14:paraId="6795EAAF" w14:textId="43D9BBD0" w:rsidR="00885CC7" w:rsidRPr="00F41258" w:rsidRDefault="00885CC7" w:rsidP="00885CC7">
            <w:pPr>
              <w:pBdr>
                <w:top w:val="none" w:sz="0" w:space="0" w:color="auto"/>
                <w:left w:val="none" w:sz="0" w:space="0" w:color="auto"/>
                <w:bottom w:val="none" w:sz="0" w:space="0" w:color="auto"/>
                <w:right w:val="none" w:sz="0" w:space="0" w:color="auto"/>
                <w:between w:val="none" w:sz="0" w:space="0" w:color="auto"/>
              </w:pBdr>
              <w:spacing w:before="0"/>
              <w:jc w:val="center"/>
              <w:rPr>
                <w:rFonts w:eastAsia="Times New Roman"/>
                <w:color w:val="000000"/>
                <w:spacing w:val="0"/>
                <w:lang w:eastAsia="zh-CN"/>
              </w:rPr>
            </w:pPr>
            <w:r w:rsidRPr="00F41258">
              <w:rPr>
                <w:rFonts w:eastAsia="Times New Roman"/>
                <w:color w:val="000000"/>
                <w:spacing w:val="0"/>
                <w:lang w:eastAsia="zh-CN"/>
              </w:rPr>
              <w:t>30%</w:t>
            </w:r>
          </w:p>
        </w:tc>
        <w:tc>
          <w:tcPr>
            <w:tcW w:w="1277" w:type="dxa"/>
            <w:tcBorders>
              <w:top w:val="nil"/>
              <w:left w:val="nil"/>
              <w:bottom w:val="nil"/>
              <w:right w:val="single" w:sz="4" w:space="0" w:color="auto"/>
            </w:tcBorders>
            <w:shd w:val="clear" w:color="auto" w:fill="auto"/>
            <w:noWrap/>
            <w:vAlign w:val="center"/>
          </w:tcPr>
          <w:p w14:paraId="7D5918B5" w14:textId="1306F4B4" w:rsidR="00885CC7" w:rsidRPr="00F41258" w:rsidRDefault="00885CC7" w:rsidP="00885CC7">
            <w:pPr>
              <w:pBdr>
                <w:top w:val="none" w:sz="0" w:space="0" w:color="auto"/>
                <w:left w:val="none" w:sz="0" w:space="0" w:color="auto"/>
                <w:bottom w:val="none" w:sz="0" w:space="0" w:color="auto"/>
                <w:right w:val="none" w:sz="0" w:space="0" w:color="auto"/>
                <w:between w:val="none" w:sz="0" w:space="0" w:color="auto"/>
              </w:pBdr>
              <w:spacing w:before="0"/>
              <w:jc w:val="center"/>
              <w:rPr>
                <w:rFonts w:eastAsia="Times New Roman"/>
                <w:color w:val="000000"/>
                <w:spacing w:val="0"/>
                <w:lang w:eastAsia="zh-CN"/>
              </w:rPr>
            </w:pPr>
            <w:r w:rsidRPr="00F41258">
              <w:rPr>
                <w:rFonts w:eastAsia="Times New Roman"/>
                <w:color w:val="000000"/>
                <w:spacing w:val="0"/>
                <w:lang w:eastAsia="zh-CN"/>
              </w:rPr>
              <w:t> </w:t>
            </w:r>
          </w:p>
        </w:tc>
        <w:tc>
          <w:tcPr>
            <w:tcW w:w="1276" w:type="dxa"/>
            <w:tcBorders>
              <w:top w:val="nil"/>
              <w:left w:val="nil"/>
              <w:bottom w:val="nil"/>
              <w:right w:val="single" w:sz="4" w:space="0" w:color="auto"/>
            </w:tcBorders>
            <w:shd w:val="clear" w:color="auto" w:fill="auto"/>
            <w:noWrap/>
            <w:vAlign w:val="center"/>
          </w:tcPr>
          <w:p w14:paraId="5E15CF7D" w14:textId="0CE66493" w:rsidR="00885CC7" w:rsidRPr="00F41258" w:rsidRDefault="00885CC7" w:rsidP="00885CC7">
            <w:pPr>
              <w:pBdr>
                <w:top w:val="none" w:sz="0" w:space="0" w:color="auto"/>
                <w:left w:val="none" w:sz="0" w:space="0" w:color="auto"/>
                <w:bottom w:val="none" w:sz="0" w:space="0" w:color="auto"/>
                <w:right w:val="none" w:sz="0" w:space="0" w:color="auto"/>
                <w:between w:val="none" w:sz="0" w:space="0" w:color="auto"/>
              </w:pBdr>
              <w:spacing w:before="0"/>
              <w:jc w:val="center"/>
              <w:rPr>
                <w:rFonts w:eastAsia="Times New Roman"/>
                <w:color w:val="000000"/>
                <w:spacing w:val="0"/>
                <w:lang w:eastAsia="zh-CN"/>
              </w:rPr>
            </w:pPr>
            <w:r w:rsidRPr="00F41258">
              <w:rPr>
                <w:rFonts w:eastAsia="Times New Roman"/>
                <w:color w:val="000000"/>
                <w:spacing w:val="0"/>
                <w:lang w:eastAsia="zh-CN"/>
              </w:rPr>
              <w:t> </w:t>
            </w:r>
          </w:p>
        </w:tc>
        <w:tc>
          <w:tcPr>
            <w:tcW w:w="1277" w:type="dxa"/>
            <w:tcBorders>
              <w:top w:val="nil"/>
              <w:left w:val="nil"/>
              <w:bottom w:val="nil"/>
              <w:right w:val="single" w:sz="4" w:space="0" w:color="auto"/>
            </w:tcBorders>
            <w:shd w:val="clear" w:color="auto" w:fill="auto"/>
            <w:noWrap/>
            <w:vAlign w:val="center"/>
          </w:tcPr>
          <w:p w14:paraId="05C5D271" w14:textId="7DAD244E" w:rsidR="00885CC7" w:rsidRPr="00F41258" w:rsidRDefault="00885CC7" w:rsidP="00885CC7">
            <w:pPr>
              <w:pBdr>
                <w:top w:val="none" w:sz="0" w:space="0" w:color="auto"/>
                <w:left w:val="none" w:sz="0" w:space="0" w:color="auto"/>
                <w:bottom w:val="none" w:sz="0" w:space="0" w:color="auto"/>
                <w:right w:val="none" w:sz="0" w:space="0" w:color="auto"/>
                <w:between w:val="none" w:sz="0" w:space="0" w:color="auto"/>
              </w:pBdr>
              <w:spacing w:before="0"/>
              <w:jc w:val="center"/>
              <w:rPr>
                <w:rFonts w:eastAsia="Times New Roman"/>
                <w:color w:val="000000"/>
                <w:spacing w:val="0"/>
                <w:lang w:eastAsia="zh-CN"/>
              </w:rPr>
            </w:pPr>
            <w:r w:rsidRPr="00F41258">
              <w:rPr>
                <w:rFonts w:eastAsia="Times New Roman"/>
                <w:color w:val="000000"/>
                <w:spacing w:val="0"/>
                <w:lang w:eastAsia="zh-CN"/>
              </w:rPr>
              <w:t>20%</w:t>
            </w:r>
          </w:p>
        </w:tc>
        <w:tc>
          <w:tcPr>
            <w:tcW w:w="1278" w:type="dxa"/>
            <w:tcBorders>
              <w:top w:val="nil"/>
              <w:left w:val="nil"/>
              <w:bottom w:val="nil"/>
              <w:right w:val="single" w:sz="4" w:space="0" w:color="auto"/>
            </w:tcBorders>
            <w:vAlign w:val="center"/>
          </w:tcPr>
          <w:p w14:paraId="5125F73F" w14:textId="7656BA6C" w:rsidR="00885CC7" w:rsidRPr="00F41258" w:rsidRDefault="00885CC7" w:rsidP="00885CC7">
            <w:pPr>
              <w:pBdr>
                <w:top w:val="none" w:sz="0" w:space="0" w:color="auto"/>
                <w:left w:val="none" w:sz="0" w:space="0" w:color="auto"/>
                <w:bottom w:val="none" w:sz="0" w:space="0" w:color="auto"/>
                <w:right w:val="none" w:sz="0" w:space="0" w:color="auto"/>
                <w:between w:val="none" w:sz="0" w:space="0" w:color="auto"/>
              </w:pBdr>
              <w:spacing w:before="0"/>
              <w:jc w:val="center"/>
              <w:rPr>
                <w:rFonts w:eastAsia="Times New Roman"/>
                <w:color w:val="000000"/>
                <w:spacing w:val="0"/>
                <w:lang w:eastAsia="zh-CN"/>
              </w:rPr>
            </w:pPr>
            <w:r w:rsidRPr="00F41258">
              <w:rPr>
                <w:rFonts w:eastAsia="Times New Roman"/>
                <w:color w:val="000000"/>
                <w:spacing w:val="0"/>
                <w:lang w:eastAsia="zh-CN"/>
              </w:rPr>
              <w:t>30%</w:t>
            </w:r>
          </w:p>
        </w:tc>
      </w:tr>
      <w:tr w:rsidR="00885CC7" w:rsidRPr="00F41258" w14:paraId="4A1EC1D5" w14:textId="77777777" w:rsidTr="00E327CF">
        <w:trPr>
          <w:trHeight w:val="300"/>
        </w:trPr>
        <w:tc>
          <w:tcPr>
            <w:tcW w:w="2694" w:type="dxa"/>
            <w:tcBorders>
              <w:top w:val="nil"/>
              <w:left w:val="single" w:sz="4" w:space="0" w:color="auto"/>
              <w:bottom w:val="nil"/>
              <w:right w:val="nil"/>
            </w:tcBorders>
            <w:shd w:val="clear" w:color="auto" w:fill="auto"/>
            <w:noWrap/>
            <w:vAlign w:val="center"/>
          </w:tcPr>
          <w:p w14:paraId="2AAA498D" w14:textId="4D23976F" w:rsidR="00885CC7" w:rsidRPr="00F41258" w:rsidRDefault="00885CC7" w:rsidP="00885CC7">
            <w:pPr>
              <w:pBdr>
                <w:top w:val="none" w:sz="0" w:space="0" w:color="auto"/>
                <w:left w:val="none" w:sz="0" w:space="0" w:color="auto"/>
                <w:bottom w:val="none" w:sz="0" w:space="0" w:color="auto"/>
                <w:right w:val="none" w:sz="0" w:space="0" w:color="auto"/>
                <w:between w:val="none" w:sz="0" w:space="0" w:color="auto"/>
              </w:pBdr>
              <w:spacing w:before="0"/>
              <w:jc w:val="left"/>
              <w:rPr>
                <w:rFonts w:eastAsia="Times New Roman"/>
                <w:color w:val="000000"/>
                <w:spacing w:val="0"/>
                <w:lang w:eastAsia="zh-CN"/>
              </w:rPr>
            </w:pPr>
            <w:r w:rsidRPr="00F41258">
              <w:rPr>
                <w:rFonts w:eastAsia="Times New Roman"/>
                <w:color w:val="000000"/>
                <w:spacing w:val="0"/>
                <w:lang w:eastAsia="zh-CN"/>
              </w:rPr>
              <w:t>Wärmenetzanschluss</w:t>
            </w:r>
          </w:p>
        </w:tc>
        <w:tc>
          <w:tcPr>
            <w:tcW w:w="1276" w:type="dxa"/>
            <w:tcBorders>
              <w:top w:val="nil"/>
              <w:left w:val="single" w:sz="4" w:space="0" w:color="auto"/>
              <w:bottom w:val="nil"/>
              <w:right w:val="single" w:sz="4" w:space="0" w:color="auto"/>
            </w:tcBorders>
            <w:shd w:val="clear" w:color="auto" w:fill="auto"/>
            <w:noWrap/>
            <w:vAlign w:val="center"/>
          </w:tcPr>
          <w:p w14:paraId="61D46948" w14:textId="69754F38" w:rsidR="00885CC7" w:rsidRPr="00F41258" w:rsidRDefault="00885CC7" w:rsidP="00885CC7">
            <w:pPr>
              <w:pBdr>
                <w:top w:val="none" w:sz="0" w:space="0" w:color="auto"/>
                <w:left w:val="none" w:sz="0" w:space="0" w:color="auto"/>
                <w:bottom w:val="none" w:sz="0" w:space="0" w:color="auto"/>
                <w:right w:val="none" w:sz="0" w:space="0" w:color="auto"/>
                <w:between w:val="none" w:sz="0" w:space="0" w:color="auto"/>
              </w:pBdr>
              <w:spacing w:before="0"/>
              <w:jc w:val="center"/>
              <w:rPr>
                <w:rFonts w:eastAsia="Times New Roman"/>
                <w:color w:val="000000"/>
                <w:spacing w:val="0"/>
                <w:lang w:eastAsia="zh-CN"/>
              </w:rPr>
            </w:pPr>
            <w:r w:rsidRPr="00F41258">
              <w:rPr>
                <w:rFonts w:eastAsia="Times New Roman"/>
                <w:color w:val="000000"/>
                <w:spacing w:val="0"/>
                <w:lang w:eastAsia="zh-CN"/>
              </w:rPr>
              <w:t>30%</w:t>
            </w:r>
          </w:p>
        </w:tc>
        <w:tc>
          <w:tcPr>
            <w:tcW w:w="1277" w:type="dxa"/>
            <w:tcBorders>
              <w:top w:val="nil"/>
              <w:left w:val="nil"/>
              <w:bottom w:val="nil"/>
              <w:right w:val="single" w:sz="4" w:space="0" w:color="auto"/>
            </w:tcBorders>
            <w:shd w:val="clear" w:color="auto" w:fill="auto"/>
            <w:noWrap/>
            <w:vAlign w:val="center"/>
          </w:tcPr>
          <w:p w14:paraId="2CD7DECD" w14:textId="546D05A3" w:rsidR="00885CC7" w:rsidRPr="00F41258" w:rsidRDefault="00885CC7" w:rsidP="00885CC7">
            <w:pPr>
              <w:pBdr>
                <w:top w:val="none" w:sz="0" w:space="0" w:color="auto"/>
                <w:left w:val="none" w:sz="0" w:space="0" w:color="auto"/>
                <w:bottom w:val="none" w:sz="0" w:space="0" w:color="auto"/>
                <w:right w:val="none" w:sz="0" w:space="0" w:color="auto"/>
                <w:between w:val="none" w:sz="0" w:space="0" w:color="auto"/>
              </w:pBdr>
              <w:spacing w:before="0"/>
              <w:jc w:val="center"/>
              <w:rPr>
                <w:rFonts w:eastAsia="Times New Roman"/>
                <w:color w:val="000000"/>
                <w:spacing w:val="0"/>
                <w:lang w:eastAsia="zh-CN"/>
              </w:rPr>
            </w:pPr>
            <w:r w:rsidRPr="00F41258">
              <w:rPr>
                <w:rFonts w:eastAsia="Times New Roman"/>
                <w:color w:val="000000"/>
                <w:spacing w:val="0"/>
                <w:lang w:eastAsia="zh-CN"/>
              </w:rPr>
              <w:t> </w:t>
            </w:r>
          </w:p>
        </w:tc>
        <w:tc>
          <w:tcPr>
            <w:tcW w:w="1276" w:type="dxa"/>
            <w:tcBorders>
              <w:top w:val="nil"/>
              <w:left w:val="nil"/>
              <w:bottom w:val="nil"/>
              <w:right w:val="single" w:sz="4" w:space="0" w:color="auto"/>
            </w:tcBorders>
            <w:shd w:val="clear" w:color="auto" w:fill="auto"/>
            <w:noWrap/>
            <w:vAlign w:val="center"/>
          </w:tcPr>
          <w:p w14:paraId="708B2AAC" w14:textId="757E2670" w:rsidR="00885CC7" w:rsidRPr="00F41258" w:rsidRDefault="00885CC7" w:rsidP="00885CC7">
            <w:pPr>
              <w:pBdr>
                <w:top w:val="none" w:sz="0" w:space="0" w:color="auto"/>
                <w:left w:val="none" w:sz="0" w:space="0" w:color="auto"/>
                <w:bottom w:val="none" w:sz="0" w:space="0" w:color="auto"/>
                <w:right w:val="none" w:sz="0" w:space="0" w:color="auto"/>
                <w:between w:val="none" w:sz="0" w:space="0" w:color="auto"/>
              </w:pBdr>
              <w:spacing w:before="0"/>
              <w:jc w:val="center"/>
              <w:rPr>
                <w:rFonts w:eastAsia="Times New Roman"/>
                <w:color w:val="000000"/>
                <w:spacing w:val="0"/>
                <w:lang w:eastAsia="zh-CN"/>
              </w:rPr>
            </w:pPr>
            <w:r w:rsidRPr="00F41258">
              <w:rPr>
                <w:rFonts w:eastAsia="Times New Roman"/>
                <w:color w:val="000000"/>
                <w:spacing w:val="0"/>
                <w:lang w:eastAsia="zh-CN"/>
              </w:rPr>
              <w:t> </w:t>
            </w:r>
          </w:p>
        </w:tc>
        <w:tc>
          <w:tcPr>
            <w:tcW w:w="1277" w:type="dxa"/>
            <w:tcBorders>
              <w:top w:val="nil"/>
              <w:left w:val="nil"/>
              <w:bottom w:val="nil"/>
              <w:right w:val="single" w:sz="4" w:space="0" w:color="auto"/>
            </w:tcBorders>
            <w:shd w:val="clear" w:color="auto" w:fill="auto"/>
            <w:noWrap/>
            <w:vAlign w:val="center"/>
          </w:tcPr>
          <w:p w14:paraId="25F0FE46" w14:textId="039589EE" w:rsidR="00885CC7" w:rsidRPr="00F41258" w:rsidRDefault="00885CC7" w:rsidP="00885CC7">
            <w:pPr>
              <w:pBdr>
                <w:top w:val="none" w:sz="0" w:space="0" w:color="auto"/>
                <w:left w:val="none" w:sz="0" w:space="0" w:color="auto"/>
                <w:bottom w:val="none" w:sz="0" w:space="0" w:color="auto"/>
                <w:right w:val="none" w:sz="0" w:space="0" w:color="auto"/>
                <w:between w:val="none" w:sz="0" w:space="0" w:color="auto"/>
              </w:pBdr>
              <w:spacing w:before="0"/>
              <w:jc w:val="center"/>
              <w:rPr>
                <w:rFonts w:eastAsia="Times New Roman"/>
                <w:color w:val="000000"/>
                <w:spacing w:val="0"/>
                <w:lang w:eastAsia="zh-CN"/>
              </w:rPr>
            </w:pPr>
            <w:r w:rsidRPr="00F41258">
              <w:rPr>
                <w:rFonts w:eastAsia="Times New Roman"/>
                <w:color w:val="000000"/>
                <w:spacing w:val="0"/>
                <w:lang w:eastAsia="zh-CN"/>
              </w:rPr>
              <w:t>20%</w:t>
            </w:r>
          </w:p>
        </w:tc>
        <w:tc>
          <w:tcPr>
            <w:tcW w:w="1278" w:type="dxa"/>
            <w:tcBorders>
              <w:top w:val="nil"/>
              <w:left w:val="nil"/>
              <w:bottom w:val="nil"/>
              <w:right w:val="single" w:sz="4" w:space="0" w:color="auto"/>
            </w:tcBorders>
            <w:vAlign w:val="center"/>
          </w:tcPr>
          <w:p w14:paraId="0624F05E" w14:textId="1AD93107" w:rsidR="00885CC7" w:rsidRPr="00F41258" w:rsidRDefault="00885CC7" w:rsidP="00885CC7">
            <w:pPr>
              <w:pBdr>
                <w:top w:val="none" w:sz="0" w:space="0" w:color="auto"/>
                <w:left w:val="none" w:sz="0" w:space="0" w:color="auto"/>
                <w:bottom w:val="none" w:sz="0" w:space="0" w:color="auto"/>
                <w:right w:val="none" w:sz="0" w:space="0" w:color="auto"/>
                <w:between w:val="none" w:sz="0" w:space="0" w:color="auto"/>
              </w:pBdr>
              <w:spacing w:before="0"/>
              <w:jc w:val="center"/>
              <w:rPr>
                <w:rFonts w:eastAsia="Times New Roman"/>
                <w:color w:val="000000"/>
                <w:spacing w:val="0"/>
                <w:lang w:eastAsia="zh-CN"/>
              </w:rPr>
            </w:pPr>
            <w:r w:rsidRPr="00F41258">
              <w:rPr>
                <w:rFonts w:eastAsia="Times New Roman"/>
                <w:color w:val="000000"/>
                <w:spacing w:val="0"/>
                <w:lang w:eastAsia="zh-CN"/>
              </w:rPr>
              <w:t>30%</w:t>
            </w:r>
          </w:p>
        </w:tc>
      </w:tr>
      <w:tr w:rsidR="00885CC7" w:rsidRPr="00F41258" w14:paraId="793FC4F0" w14:textId="77777777" w:rsidTr="00E327CF">
        <w:trPr>
          <w:trHeight w:val="300"/>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6C2620" w14:textId="77777777" w:rsidR="00885CC7" w:rsidRPr="00F41258" w:rsidRDefault="00885CC7" w:rsidP="00885CC7">
            <w:pPr>
              <w:pBdr>
                <w:top w:val="none" w:sz="0" w:space="0" w:color="auto"/>
                <w:left w:val="none" w:sz="0" w:space="0" w:color="auto"/>
                <w:bottom w:val="none" w:sz="0" w:space="0" w:color="auto"/>
                <w:right w:val="none" w:sz="0" w:space="0" w:color="auto"/>
                <w:between w:val="none" w:sz="0" w:space="0" w:color="auto"/>
              </w:pBdr>
              <w:spacing w:before="0"/>
              <w:jc w:val="left"/>
              <w:rPr>
                <w:rFonts w:eastAsia="Times New Roman"/>
                <w:color w:val="000000"/>
                <w:spacing w:val="0"/>
                <w:lang w:eastAsia="zh-CN"/>
              </w:rPr>
            </w:pPr>
            <w:r w:rsidRPr="00F41258">
              <w:rPr>
                <w:rFonts w:eastAsia="Times New Roman"/>
                <w:color w:val="000000"/>
                <w:spacing w:val="0"/>
                <w:lang w:eastAsia="zh-CN"/>
              </w:rPr>
              <w:t>Heizungsoptimierung</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9FF7077" w14:textId="77777777" w:rsidR="00885CC7" w:rsidRPr="00F41258" w:rsidRDefault="00885CC7" w:rsidP="00885CC7">
            <w:pPr>
              <w:pBdr>
                <w:top w:val="none" w:sz="0" w:space="0" w:color="auto"/>
                <w:left w:val="none" w:sz="0" w:space="0" w:color="auto"/>
                <w:bottom w:val="none" w:sz="0" w:space="0" w:color="auto"/>
                <w:right w:val="none" w:sz="0" w:space="0" w:color="auto"/>
                <w:between w:val="none" w:sz="0" w:space="0" w:color="auto"/>
              </w:pBdr>
              <w:spacing w:before="0"/>
              <w:jc w:val="center"/>
              <w:rPr>
                <w:rFonts w:eastAsia="Times New Roman"/>
                <w:color w:val="000000"/>
                <w:spacing w:val="0"/>
                <w:lang w:eastAsia="zh-CN"/>
              </w:rPr>
            </w:pPr>
            <w:r w:rsidRPr="00F41258">
              <w:rPr>
                <w:rFonts w:eastAsia="Times New Roman"/>
                <w:color w:val="000000"/>
                <w:spacing w:val="0"/>
                <w:lang w:eastAsia="zh-CN"/>
              </w:rPr>
              <w:t>15%</w:t>
            </w:r>
          </w:p>
        </w:tc>
        <w:tc>
          <w:tcPr>
            <w:tcW w:w="1277" w:type="dxa"/>
            <w:tcBorders>
              <w:top w:val="single" w:sz="4" w:space="0" w:color="auto"/>
              <w:left w:val="nil"/>
              <w:bottom w:val="single" w:sz="4" w:space="0" w:color="auto"/>
              <w:right w:val="single" w:sz="4" w:space="0" w:color="auto"/>
            </w:tcBorders>
            <w:shd w:val="clear" w:color="auto" w:fill="auto"/>
            <w:noWrap/>
            <w:vAlign w:val="center"/>
            <w:hideMark/>
          </w:tcPr>
          <w:p w14:paraId="578A7313" w14:textId="251B1C8A" w:rsidR="00885CC7" w:rsidRPr="00F41258" w:rsidRDefault="00885CC7" w:rsidP="00885CC7">
            <w:pPr>
              <w:pBdr>
                <w:top w:val="none" w:sz="0" w:space="0" w:color="auto"/>
                <w:left w:val="none" w:sz="0" w:space="0" w:color="auto"/>
                <w:bottom w:val="none" w:sz="0" w:space="0" w:color="auto"/>
                <w:right w:val="none" w:sz="0" w:space="0" w:color="auto"/>
                <w:between w:val="none" w:sz="0" w:space="0" w:color="auto"/>
              </w:pBdr>
              <w:spacing w:before="0"/>
              <w:jc w:val="center"/>
              <w:rPr>
                <w:rFonts w:eastAsia="Times New Roman"/>
                <w:color w:val="000000"/>
                <w:spacing w:val="0"/>
                <w:lang w:eastAsia="zh-CN"/>
              </w:rPr>
            </w:pPr>
            <w:r w:rsidRPr="00F41258">
              <w:rPr>
                <w:rFonts w:eastAsia="Times New Roman"/>
                <w:color w:val="000000"/>
                <w:spacing w:val="0"/>
                <w:lang w:eastAsia="zh-CN"/>
              </w:rPr>
              <w:t>5%</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56D84D4" w14:textId="1659AFBC" w:rsidR="00885CC7" w:rsidRPr="00F41258" w:rsidRDefault="00885CC7" w:rsidP="00885CC7">
            <w:pPr>
              <w:pBdr>
                <w:top w:val="none" w:sz="0" w:space="0" w:color="auto"/>
                <w:left w:val="none" w:sz="0" w:space="0" w:color="auto"/>
                <w:bottom w:val="none" w:sz="0" w:space="0" w:color="auto"/>
                <w:right w:val="none" w:sz="0" w:space="0" w:color="auto"/>
                <w:between w:val="none" w:sz="0" w:space="0" w:color="auto"/>
              </w:pBdr>
              <w:spacing w:before="0"/>
              <w:jc w:val="center"/>
              <w:rPr>
                <w:rFonts w:eastAsia="Times New Roman"/>
                <w:color w:val="000000"/>
                <w:spacing w:val="0"/>
                <w:lang w:eastAsia="zh-CN"/>
              </w:rPr>
            </w:pPr>
            <w:r w:rsidRPr="00F41258">
              <w:rPr>
                <w:rFonts w:eastAsia="Times New Roman"/>
                <w:color w:val="000000"/>
                <w:spacing w:val="0"/>
                <w:lang w:eastAsia="zh-CN"/>
              </w:rPr>
              <w:t> </w:t>
            </w:r>
          </w:p>
        </w:tc>
        <w:tc>
          <w:tcPr>
            <w:tcW w:w="1277" w:type="dxa"/>
            <w:tcBorders>
              <w:top w:val="single" w:sz="4" w:space="0" w:color="auto"/>
              <w:left w:val="nil"/>
              <w:bottom w:val="single" w:sz="4" w:space="0" w:color="auto"/>
              <w:right w:val="single" w:sz="4" w:space="0" w:color="auto"/>
            </w:tcBorders>
            <w:shd w:val="clear" w:color="auto" w:fill="auto"/>
            <w:noWrap/>
            <w:vAlign w:val="center"/>
          </w:tcPr>
          <w:p w14:paraId="058DAC8F" w14:textId="0ACA0EEA" w:rsidR="00885CC7" w:rsidRPr="00F41258" w:rsidRDefault="00885CC7" w:rsidP="00885CC7">
            <w:pPr>
              <w:pBdr>
                <w:top w:val="none" w:sz="0" w:space="0" w:color="auto"/>
                <w:left w:val="none" w:sz="0" w:space="0" w:color="auto"/>
                <w:bottom w:val="none" w:sz="0" w:space="0" w:color="auto"/>
                <w:right w:val="none" w:sz="0" w:space="0" w:color="auto"/>
                <w:between w:val="none" w:sz="0" w:space="0" w:color="auto"/>
              </w:pBdr>
              <w:spacing w:before="0"/>
              <w:jc w:val="center"/>
              <w:rPr>
                <w:rFonts w:eastAsia="Times New Roman"/>
                <w:color w:val="000000"/>
                <w:spacing w:val="0"/>
                <w:lang w:eastAsia="zh-CN"/>
              </w:rPr>
            </w:pPr>
            <w:r w:rsidRPr="00F41258">
              <w:rPr>
                <w:rFonts w:eastAsia="Times New Roman"/>
                <w:color w:val="000000"/>
                <w:spacing w:val="0"/>
                <w:lang w:eastAsia="zh-CN"/>
              </w:rPr>
              <w:t> </w:t>
            </w:r>
          </w:p>
        </w:tc>
        <w:tc>
          <w:tcPr>
            <w:tcW w:w="1278" w:type="dxa"/>
            <w:tcBorders>
              <w:top w:val="single" w:sz="4" w:space="0" w:color="auto"/>
              <w:left w:val="nil"/>
              <w:bottom w:val="single" w:sz="4" w:space="0" w:color="auto"/>
              <w:right w:val="single" w:sz="4" w:space="0" w:color="auto"/>
            </w:tcBorders>
          </w:tcPr>
          <w:p w14:paraId="7527362E" w14:textId="77777777" w:rsidR="00885CC7" w:rsidRPr="00F41258" w:rsidRDefault="00885CC7" w:rsidP="00885CC7">
            <w:pPr>
              <w:pBdr>
                <w:top w:val="none" w:sz="0" w:space="0" w:color="auto"/>
                <w:left w:val="none" w:sz="0" w:space="0" w:color="auto"/>
                <w:bottom w:val="none" w:sz="0" w:space="0" w:color="auto"/>
                <w:right w:val="none" w:sz="0" w:space="0" w:color="auto"/>
                <w:between w:val="none" w:sz="0" w:space="0" w:color="auto"/>
              </w:pBdr>
              <w:spacing w:before="0"/>
              <w:jc w:val="center"/>
              <w:rPr>
                <w:rFonts w:eastAsia="Times New Roman"/>
                <w:color w:val="000000"/>
                <w:spacing w:val="0"/>
                <w:lang w:eastAsia="zh-CN"/>
              </w:rPr>
            </w:pPr>
          </w:p>
        </w:tc>
      </w:tr>
    </w:tbl>
    <w:p w14:paraId="08F2FB35" w14:textId="77777777" w:rsidR="00123B40" w:rsidRPr="00F41258" w:rsidRDefault="00123B40" w:rsidP="00583FF0"/>
    <w:p w14:paraId="12A0D2EE" w14:textId="77777777" w:rsidR="00232CB1" w:rsidRPr="00F41258" w:rsidRDefault="00232CB1" w:rsidP="009B6F99">
      <w:pPr>
        <w:pStyle w:val="Listenabsatz"/>
        <w:numPr>
          <w:ilvl w:val="0"/>
          <w:numId w:val="4"/>
        </w:numPr>
        <w:ind w:left="0"/>
        <w:rPr>
          <w:b/>
        </w:rPr>
      </w:pPr>
      <w:r w:rsidRPr="00F41258">
        <w:rPr>
          <w:b/>
        </w:rPr>
        <w:t>Einzelmaßnahmen an der Gebäudehülle</w:t>
      </w:r>
    </w:p>
    <w:p w14:paraId="3EC8B5B9" w14:textId="430B39BD" w:rsidR="00232CB1" w:rsidRPr="00F41258" w:rsidRDefault="00232CB1" w:rsidP="00583FF0">
      <w:r w:rsidRPr="00F41258">
        <w:t xml:space="preserve">Für Maßnahmen nach </w:t>
      </w:r>
      <w:hyperlink w:anchor="_Einzelmaßnahmen_an_der" w:history="1">
        <w:r w:rsidRPr="00F41258">
          <w:rPr>
            <w:rStyle w:val="Hyperlink"/>
          </w:rPr>
          <w:t>Nummer 5.1</w:t>
        </w:r>
      </w:hyperlink>
      <w:r w:rsidRPr="00F41258">
        <w:t xml:space="preserve"> beträgt der Fördersatz </w:t>
      </w:r>
      <w:r w:rsidR="00171930" w:rsidRPr="00F41258">
        <w:t>15</w:t>
      </w:r>
      <w:r w:rsidR="00480DF3" w:rsidRPr="00F41258">
        <w:t> </w:t>
      </w:r>
      <w:r w:rsidRPr="00F41258">
        <w:t>%.</w:t>
      </w:r>
    </w:p>
    <w:p w14:paraId="34F05C10" w14:textId="77777777" w:rsidR="00232CB1" w:rsidRPr="00F41258" w:rsidRDefault="00232CB1" w:rsidP="009B6F99">
      <w:pPr>
        <w:pStyle w:val="Listenabsatz"/>
        <w:numPr>
          <w:ilvl w:val="0"/>
          <w:numId w:val="4"/>
        </w:numPr>
        <w:ind w:left="0"/>
        <w:rPr>
          <w:b/>
        </w:rPr>
      </w:pPr>
      <w:r w:rsidRPr="00F41258">
        <w:rPr>
          <w:b/>
        </w:rPr>
        <w:t>Anlagentechnik (außer Heizung)</w:t>
      </w:r>
    </w:p>
    <w:p w14:paraId="0408B433" w14:textId="0BCC22CB" w:rsidR="00232CB1" w:rsidRPr="00F41258" w:rsidRDefault="00232CB1" w:rsidP="00583FF0">
      <w:r w:rsidRPr="00F41258">
        <w:t xml:space="preserve">Für Maßnahmen nach </w:t>
      </w:r>
      <w:hyperlink w:anchor="_Anlagentechnik_(außer_Heizung)" w:history="1">
        <w:r w:rsidRPr="00F41258">
          <w:rPr>
            <w:rStyle w:val="Hyperlink"/>
          </w:rPr>
          <w:t>Nummer 5.2</w:t>
        </w:r>
      </w:hyperlink>
      <w:r w:rsidRPr="00F41258">
        <w:t xml:space="preserve"> beträgt der Fördersatz </w:t>
      </w:r>
      <w:r w:rsidR="00171930" w:rsidRPr="00F41258">
        <w:t>15</w:t>
      </w:r>
      <w:r w:rsidR="00480DF3" w:rsidRPr="00F41258">
        <w:t> </w:t>
      </w:r>
      <w:r w:rsidRPr="00F41258">
        <w:t>%.</w:t>
      </w:r>
    </w:p>
    <w:p w14:paraId="5CF5A898" w14:textId="77777777" w:rsidR="00232CB1" w:rsidRPr="00F41258" w:rsidRDefault="00232CB1" w:rsidP="009B6F99">
      <w:pPr>
        <w:pStyle w:val="Listenabsatz"/>
        <w:numPr>
          <w:ilvl w:val="0"/>
          <w:numId w:val="4"/>
        </w:numPr>
        <w:ind w:left="0"/>
        <w:rPr>
          <w:b/>
        </w:rPr>
      </w:pPr>
      <w:r w:rsidRPr="00F41258">
        <w:rPr>
          <w:b/>
        </w:rPr>
        <w:t>Anlagen zur Wärmeerzeugung (Heizungstechnik)</w:t>
      </w:r>
    </w:p>
    <w:p w14:paraId="0B0D459C" w14:textId="122FD30D" w:rsidR="00232CB1" w:rsidRPr="00F41258" w:rsidRDefault="00F55146" w:rsidP="00583FF0">
      <w:r w:rsidRPr="00F41258">
        <w:lastRenderedPageBreak/>
        <w:t>F</w:t>
      </w:r>
      <w:r w:rsidR="00232CB1" w:rsidRPr="00F41258">
        <w:t xml:space="preserve">ür </w:t>
      </w:r>
      <w:r w:rsidR="00CA551B" w:rsidRPr="00F41258">
        <w:t>Maßnahmen</w:t>
      </w:r>
      <w:r w:rsidR="00232CB1" w:rsidRPr="00F41258">
        <w:t xml:space="preserve"> nach </w:t>
      </w:r>
      <w:hyperlink w:anchor="_Anlagen_zur_Wärmeerzeugung" w:history="1">
        <w:r w:rsidR="00CA551B" w:rsidRPr="00F41258">
          <w:rPr>
            <w:rStyle w:val="Hyperlink"/>
          </w:rPr>
          <w:t>Nummer 5.3</w:t>
        </w:r>
      </w:hyperlink>
      <w:r w:rsidR="00232CB1" w:rsidRPr="00F41258">
        <w:t xml:space="preserve"> beträgt d</w:t>
      </w:r>
      <w:r w:rsidR="00410935" w:rsidRPr="00F41258">
        <w:t>er</w:t>
      </w:r>
      <w:r w:rsidR="00232CB1" w:rsidRPr="00F41258">
        <w:t xml:space="preserve"> Förder</w:t>
      </w:r>
      <w:r w:rsidR="00410935" w:rsidRPr="00F41258">
        <w:t>satz</w:t>
      </w:r>
      <w:r w:rsidR="00232CB1" w:rsidRPr="00F41258">
        <w:t xml:space="preserve"> </w:t>
      </w:r>
      <w:r w:rsidR="00CA551B" w:rsidRPr="00F41258">
        <w:t>30 %.</w:t>
      </w:r>
    </w:p>
    <w:p w14:paraId="173432CA" w14:textId="010BF5B4" w:rsidR="00232CB1" w:rsidRPr="00F41258" w:rsidRDefault="00232CB1" w:rsidP="00583FF0"/>
    <w:p w14:paraId="68E921D5" w14:textId="77777777" w:rsidR="00232CB1" w:rsidRPr="00F41258" w:rsidRDefault="00232CB1" w:rsidP="00583FF0">
      <w:pPr>
        <w:rPr>
          <w:b/>
        </w:rPr>
      </w:pPr>
      <w:r w:rsidRPr="00F41258">
        <w:rPr>
          <w:b/>
        </w:rPr>
        <w:t>d) Heizungsoptimierung</w:t>
      </w:r>
    </w:p>
    <w:p w14:paraId="52C3DF5D" w14:textId="0344877A" w:rsidR="00232CB1" w:rsidRPr="00F41258" w:rsidRDefault="00232CB1" w:rsidP="00583FF0">
      <w:r w:rsidRPr="00F41258">
        <w:t xml:space="preserve">Für Maßnahmen zur Heizungsoptimierung nach </w:t>
      </w:r>
      <w:hyperlink w:anchor="_Heizungsoptimierung" w:history="1">
        <w:r w:rsidRPr="00F41258">
          <w:rPr>
            <w:rStyle w:val="Hyperlink"/>
          </w:rPr>
          <w:t>Nummer 5.4</w:t>
        </w:r>
      </w:hyperlink>
      <w:r w:rsidRPr="00F41258">
        <w:t xml:space="preserve"> beträgt die Förder</w:t>
      </w:r>
      <w:r w:rsidR="00D31606" w:rsidRPr="00F41258">
        <w:t>satz</w:t>
      </w:r>
      <w:r w:rsidRPr="00F41258">
        <w:t xml:space="preserve"> </w:t>
      </w:r>
      <w:r w:rsidR="00171930" w:rsidRPr="00F41258">
        <w:t>15</w:t>
      </w:r>
      <w:r w:rsidR="00622573" w:rsidRPr="00F41258">
        <w:t> </w:t>
      </w:r>
      <w:r w:rsidRPr="00F41258">
        <w:t>%.</w:t>
      </w:r>
    </w:p>
    <w:p w14:paraId="7183E1E0" w14:textId="3A9D2D5A" w:rsidR="00DF4EC6" w:rsidRPr="00F41258" w:rsidRDefault="00DF4EC6" w:rsidP="00DF4EC6">
      <w:pPr>
        <w:pStyle w:val="berschrift3"/>
      </w:pPr>
      <w:bookmarkStart w:id="107" w:name="_Bonus_für_die"/>
      <w:bookmarkStart w:id="108" w:name="_Toc144908016"/>
      <w:bookmarkStart w:id="109" w:name="_Ref144913754"/>
      <w:bookmarkEnd w:id="107"/>
      <w:r w:rsidRPr="00F41258">
        <w:t xml:space="preserve">Bonus für die </w:t>
      </w:r>
      <w:r w:rsidRPr="00F41258">
        <w:t>Umsetzung einer Maßnahme im Rahmen eines individuellen Sanierungsfahrplans (iSFP-</w:t>
      </w:r>
      <w:r w:rsidRPr="00F41258">
        <w:t>Bonus</w:t>
      </w:r>
      <w:r w:rsidRPr="00F41258">
        <w:t>)</w:t>
      </w:r>
      <w:bookmarkEnd w:id="108"/>
      <w:bookmarkEnd w:id="109"/>
    </w:p>
    <w:p w14:paraId="49E86D7A" w14:textId="169EFB2B" w:rsidR="00DF4EC6" w:rsidRPr="00F41258" w:rsidRDefault="00DF4EC6" w:rsidP="00794525">
      <w:r w:rsidRPr="00F41258">
        <w:t xml:space="preserve">Ist eine energetische Sanierungsmaßnahme Bestandteil eines im Förderprogramm „Bundesförderung für Energieberatung für Wohngebäude“ geförderten iSFP und wird diese innerhalb eines Zeitraums von maximal 15 Jahren nach Erstellung des iSFP umgesetzt, so erhöht sich der für diese Maßnahme vorgesehene Fördersatz um zusätzliche </w:t>
      </w:r>
      <w:r w:rsidR="00DC5BEF" w:rsidRPr="00F41258">
        <w:t>5 </w:t>
      </w:r>
      <w:r w:rsidRPr="00F41258">
        <w:t xml:space="preserve">Prozentpunkte (iSFP-Bonus). </w:t>
      </w:r>
      <w:r w:rsidR="00232CB1" w:rsidRPr="00F41258">
        <w:t xml:space="preserve">Als Übergangsregelung werden Beratungsberichte, die nicht als iSFP erstellt wurden, und die im Zeitraum zwischen dem </w:t>
      </w:r>
      <w:r w:rsidR="00E37AEB" w:rsidRPr="00F41258">
        <w:t xml:space="preserve">1. Juli </w:t>
      </w:r>
      <w:r w:rsidR="00232CB1" w:rsidRPr="00F41258">
        <w:t>2017 und dem 31.</w:t>
      </w:r>
      <w:r w:rsidR="00E37AEB" w:rsidRPr="00F41258">
        <w:t xml:space="preserve"> </w:t>
      </w:r>
      <w:r w:rsidRPr="00F41258">
        <w:t xml:space="preserve">Dezember 2020 vom BAFA im Rahmen der </w:t>
      </w:r>
      <w:r w:rsidR="003B244E" w:rsidRPr="00F41258">
        <w:t>Richtlinie für die Bundesförderung für „</w:t>
      </w:r>
      <w:r w:rsidRPr="00F41258">
        <w:t>Energieberatung für Wohngebäude (EBW)</w:t>
      </w:r>
      <w:r w:rsidR="003B244E" w:rsidRPr="00F41258">
        <w:t>“</w:t>
      </w:r>
      <w:r w:rsidRPr="00F41258">
        <w:t xml:space="preserve"> gefördert wurden, unter den im Übrigen selben weiteren Voraussetzungen ebenfalls für den iSFP-Bonus zugelassen. </w:t>
      </w:r>
      <w:r w:rsidR="00404FBD" w:rsidRPr="00F41258">
        <w:t xml:space="preserve">Bereits bei der Antragstellung muss der iSFP vorliegen. Zur Einreichung des Verwendungsnachweises in der BEG EM muss der iSFP bzw. die </w:t>
      </w:r>
      <w:r w:rsidR="0092276E" w:rsidRPr="00F41258">
        <w:t>geförderte Energieberatung (EBW)</w:t>
      </w:r>
      <w:r w:rsidR="00404FBD" w:rsidRPr="00F41258">
        <w:t xml:space="preserve"> abschließend beschieden und ausgezahlt worden sein. </w:t>
      </w:r>
      <w:r w:rsidRPr="00F41258">
        <w:t xml:space="preserve">Vom iSFP-Bonus ausgenommen bleiben im Zusammenhang mit der Umsetzung der Maßnahme vorgenommene Leistungen nach </w:t>
      </w:r>
      <w:hyperlink w:anchor="_Anlagen_zur_Wärmeerzeugung" w:history="1">
        <w:r w:rsidRPr="00F41258">
          <w:rPr>
            <w:rStyle w:val="Hyperlink"/>
          </w:rPr>
          <w:t>Nummer 5.3</w:t>
        </w:r>
      </w:hyperlink>
      <w:r w:rsidRPr="00F41258">
        <w:t xml:space="preserve">, </w:t>
      </w:r>
      <w:hyperlink w:anchor="_Heizungsoptimierung" w:history="1">
        <w:r w:rsidRPr="00F41258">
          <w:rPr>
            <w:rStyle w:val="Hyperlink"/>
          </w:rPr>
          <w:t>5.4</w:t>
        </w:r>
      </w:hyperlink>
      <w:r w:rsidRPr="00F41258">
        <w:t xml:space="preserve"> und </w:t>
      </w:r>
      <w:hyperlink w:anchor="_Fachplanung_und_Baubegleitung_1" w:history="1">
        <w:r w:rsidRPr="00F41258">
          <w:rPr>
            <w:rStyle w:val="Hyperlink"/>
          </w:rPr>
          <w:t>5.5</w:t>
        </w:r>
      </w:hyperlink>
      <w:r w:rsidRPr="00F41258">
        <w:t xml:space="preserve"> dieser </w:t>
      </w:r>
      <w:r w:rsidR="00103EB3" w:rsidRPr="00F41258">
        <w:t>Förderr</w:t>
      </w:r>
      <w:r w:rsidRPr="00F41258">
        <w:t xml:space="preserve">ichtlinie. </w:t>
      </w:r>
    </w:p>
    <w:p w14:paraId="5E8315C4" w14:textId="5D1301FA" w:rsidR="00DF341F" w:rsidRPr="00F41258" w:rsidRDefault="00725F49" w:rsidP="00082886">
      <w:pPr>
        <w:pStyle w:val="berschrift3"/>
      </w:pPr>
      <w:bookmarkStart w:id="110" w:name="_Toc144908017"/>
      <w:r w:rsidRPr="00F41258">
        <w:t>Effizienz</w:t>
      </w:r>
      <w:r w:rsidR="00DF341F" w:rsidRPr="00F41258">
        <w:t>-Bonus</w:t>
      </w:r>
      <w:bookmarkEnd w:id="110"/>
    </w:p>
    <w:p w14:paraId="5642DF73" w14:textId="47BD90EC" w:rsidR="00DF341F" w:rsidRPr="00F41258" w:rsidRDefault="00DF341F" w:rsidP="003042CA">
      <w:r w:rsidRPr="00F41258">
        <w:t xml:space="preserve">Für Wärmepumpen nach </w:t>
      </w:r>
      <w:hyperlink w:anchor="_Elektrisch_angetriebene_Wärmepumpen" w:history="1">
        <w:r w:rsidRPr="00F41258">
          <w:rPr>
            <w:rStyle w:val="Hyperlink"/>
          </w:rPr>
          <w:t>Nummer 5.3 Buchstabe</w:t>
        </w:r>
        <w:r w:rsidR="009E05B4" w:rsidRPr="00F41258">
          <w:rPr>
            <w:rStyle w:val="Hyperlink"/>
          </w:rPr>
          <w:t> </w:t>
        </w:r>
        <w:r w:rsidRPr="00F41258">
          <w:rPr>
            <w:rStyle w:val="Hyperlink"/>
          </w:rPr>
          <w:t>c</w:t>
        </w:r>
      </w:hyperlink>
      <w:r w:rsidRPr="00F41258">
        <w:t xml:space="preserve"> wird zusätzlich ein Bonus von 5</w:t>
      </w:r>
      <w:r w:rsidR="0091582B" w:rsidRPr="00F41258">
        <w:t> </w:t>
      </w:r>
      <w:r w:rsidRPr="00F41258">
        <w:t>Prozentpunkten gewährt, wenn als Wärmequelle Wasser, Erdreich oder Abwasser erschlossen wird oder ein natürliches Kältemittel eingesetzt wird.</w:t>
      </w:r>
    </w:p>
    <w:p w14:paraId="29547F93" w14:textId="3416CB45" w:rsidR="00E72113" w:rsidRPr="00F41258" w:rsidRDefault="00D943C8" w:rsidP="00222B28">
      <w:pPr>
        <w:pStyle w:val="berschrift3"/>
      </w:pPr>
      <w:bookmarkStart w:id="111" w:name="_Heizungs-TauschKlima-Bonus"/>
      <w:bookmarkStart w:id="112" w:name="_Toc144908018"/>
      <w:bookmarkEnd w:id="111"/>
      <w:r w:rsidRPr="00F41258">
        <w:t>Klima</w:t>
      </w:r>
      <w:r w:rsidR="00F17499" w:rsidRPr="00F41258">
        <w:t>-Bonus</w:t>
      </w:r>
      <w:bookmarkEnd w:id="112"/>
    </w:p>
    <w:p w14:paraId="3AEC66DC" w14:textId="000076C6" w:rsidR="00344D34" w:rsidRPr="00F41258" w:rsidRDefault="00624D57" w:rsidP="00583FF0">
      <w:r w:rsidRPr="00F41258">
        <w:t>Der Bonus wird selbstnutzenden Eigentümern</w:t>
      </w:r>
      <w:r w:rsidR="00D45D62" w:rsidRPr="00F41258">
        <w:t xml:space="preserve"> für Maßnahmen nach </w:t>
      </w:r>
      <w:hyperlink w:anchor="_Anlagen_zur_Wärmeerzeugung" w:history="1">
        <w:r w:rsidR="00D45D62" w:rsidRPr="00F41258">
          <w:rPr>
            <w:rStyle w:val="Hyperlink"/>
          </w:rPr>
          <w:t>Nummer 5.3</w:t>
        </w:r>
      </w:hyperlink>
      <w:r w:rsidR="00B62993" w:rsidRPr="00F41258">
        <w:t xml:space="preserve"> nur </w:t>
      </w:r>
      <w:r w:rsidR="00287774" w:rsidRPr="00F41258">
        <w:t xml:space="preserve">für die </w:t>
      </w:r>
      <w:r w:rsidR="00B62993" w:rsidRPr="00F41258">
        <w:t>selbstgenutzte Wohneinheit</w:t>
      </w:r>
      <w:r w:rsidRPr="00F41258">
        <w:t xml:space="preserve"> gewährt</w:t>
      </w:r>
      <w:r w:rsidR="000B026A" w:rsidRPr="00F41258">
        <w:t xml:space="preserve">. Bedingung ist </w:t>
      </w:r>
      <w:r w:rsidR="009478EB" w:rsidRPr="00F41258">
        <w:t xml:space="preserve">der </w:t>
      </w:r>
      <w:r w:rsidR="00E72113" w:rsidRPr="00F41258">
        <w:t>Austausch von funktionstüchtigen Öl-, Kohle</w:t>
      </w:r>
      <w:r w:rsidR="00E72113" w:rsidRPr="00F41258">
        <w:t>-</w:t>
      </w:r>
      <w:r w:rsidR="00CF3503" w:rsidRPr="00F41258">
        <w:t>,</w:t>
      </w:r>
      <w:r w:rsidR="00E72113" w:rsidRPr="00F41258">
        <w:t xml:space="preserve"> </w:t>
      </w:r>
      <w:r w:rsidR="009478EB" w:rsidRPr="00F41258">
        <w:t>Gas-Etage</w:t>
      </w:r>
      <w:r w:rsidR="00CF3503" w:rsidRPr="00F41258">
        <w:t>n</w:t>
      </w:r>
      <w:r w:rsidR="00E72113" w:rsidRPr="00F41258">
        <w:t xml:space="preserve">- und Nachtspeicherheizungen </w:t>
      </w:r>
      <w:r w:rsidR="007704B9" w:rsidRPr="00F41258">
        <w:t xml:space="preserve">(ohne Anforderung an </w:t>
      </w:r>
      <w:r w:rsidR="003F02DF" w:rsidRPr="00F41258">
        <w:t xml:space="preserve">den Zeitpunkt der </w:t>
      </w:r>
      <w:r w:rsidR="007704B9" w:rsidRPr="00F41258">
        <w:t xml:space="preserve">Inbetriebnahme) </w:t>
      </w:r>
      <w:r w:rsidR="000B026A" w:rsidRPr="00F41258">
        <w:t xml:space="preserve">oder </w:t>
      </w:r>
      <w:r w:rsidR="00E72113" w:rsidRPr="00F41258">
        <w:t xml:space="preserve">von </w:t>
      </w:r>
      <w:r w:rsidR="00F17499" w:rsidRPr="00F41258">
        <w:t xml:space="preserve">funktionstüchtigen </w:t>
      </w:r>
      <w:r w:rsidR="00E72113" w:rsidRPr="00F41258">
        <w:t xml:space="preserve">Gasheizungen, wenn </w:t>
      </w:r>
      <w:r w:rsidR="002D6243" w:rsidRPr="00F41258">
        <w:t>die</w:t>
      </w:r>
      <w:r w:rsidR="00E72113" w:rsidRPr="00F41258">
        <w:t xml:space="preserve"> Inbetriebnahme zum Zeitpunkt der Antragsstellung mindestens 20 Jahre zurückliegt. </w:t>
      </w:r>
      <w:r w:rsidR="000231D4" w:rsidRPr="00F41258">
        <w:t>Voraussetzung für die Gewährung des Bonus ist ein</w:t>
      </w:r>
      <w:r w:rsidR="00A14E30" w:rsidRPr="00F41258">
        <w:t>e</w:t>
      </w:r>
      <w:r w:rsidR="000231D4" w:rsidRPr="00F41258">
        <w:t xml:space="preserve"> fachgerechte Demontage und Entsorgung der ausgetauschten</w:t>
      </w:r>
      <w:r w:rsidR="00370056" w:rsidRPr="00F41258">
        <w:t>, für den Bonus berechtigten</w:t>
      </w:r>
      <w:r w:rsidR="000231D4" w:rsidRPr="00F41258">
        <w:t xml:space="preserve"> Heizung. </w:t>
      </w:r>
      <w:r w:rsidR="00A14E30" w:rsidRPr="00F41258">
        <w:t>Nach dem Austausch dürfen die versorgten Wohneinheiten oder Flächen nicht mehr von fossilen oder mit Gas betriebene</w:t>
      </w:r>
      <w:r w:rsidR="002B5081" w:rsidRPr="00F41258">
        <w:t>n</w:t>
      </w:r>
      <w:r w:rsidR="00A14E30" w:rsidRPr="00F41258">
        <w:t xml:space="preserve"> Heizung</w:t>
      </w:r>
      <w:r w:rsidR="002B5081" w:rsidRPr="00F41258">
        <w:t>en</w:t>
      </w:r>
      <w:r w:rsidR="00A14E30" w:rsidRPr="00F41258">
        <w:t xml:space="preserve"> im Gebäude oder gebäudenah versorgt werden. </w:t>
      </w:r>
      <w:r w:rsidR="00B359C8" w:rsidRPr="00F41258">
        <w:t>Davon a</w:t>
      </w:r>
      <w:r w:rsidR="00A14E30" w:rsidRPr="00F41258">
        <w:t xml:space="preserve">usgenommen sind gasbetriebene Brennstoffzellenheizungen nach Nummer </w:t>
      </w:r>
      <w:hyperlink w:anchor="_Brennstoffzellenheizung" w:history="1">
        <w:r w:rsidR="00A14E30" w:rsidRPr="00F41258">
          <w:rPr>
            <w:rStyle w:val="Hyperlink"/>
          </w:rPr>
          <w:t xml:space="preserve">5.3 Buchstabe </w:t>
        </w:r>
        <w:r w:rsidR="0091582B" w:rsidRPr="00F41258">
          <w:rPr>
            <w:rStyle w:val="Hyperlink"/>
          </w:rPr>
          <w:t>d</w:t>
        </w:r>
      </w:hyperlink>
      <w:r w:rsidR="00370056" w:rsidRPr="00F41258">
        <w:t xml:space="preserve"> und wasserstofffähige Heizungen nach </w:t>
      </w:r>
      <w:hyperlink w:anchor="_Wasserstofffähige_Heizungen_(H2-Rea" w:history="1">
        <w:r w:rsidR="00370056" w:rsidRPr="00F41258">
          <w:rPr>
            <w:rStyle w:val="Hyperlink"/>
          </w:rPr>
          <w:t>Nummer 5.3 Buchstabe</w:t>
        </w:r>
        <w:r w:rsidR="009E05B4" w:rsidRPr="00F41258">
          <w:rPr>
            <w:rStyle w:val="Hyperlink"/>
          </w:rPr>
          <w:t> </w:t>
        </w:r>
        <w:r w:rsidR="00370056" w:rsidRPr="00F41258">
          <w:rPr>
            <w:rStyle w:val="Hyperlink"/>
          </w:rPr>
          <w:t>e</w:t>
        </w:r>
      </w:hyperlink>
      <w:r w:rsidR="00EA2885" w:rsidRPr="00F41258">
        <w:t xml:space="preserve">. </w:t>
      </w:r>
    </w:p>
    <w:p w14:paraId="4919C53E" w14:textId="3EBAB531" w:rsidR="00A14E30" w:rsidRPr="00F41258" w:rsidRDefault="0034602F" w:rsidP="00583FF0">
      <w:r w:rsidRPr="00F41258">
        <w:t xml:space="preserve">Bis einschließlich </w:t>
      </w:r>
      <w:r w:rsidR="00976AAC" w:rsidRPr="00F41258">
        <w:t xml:space="preserve">31. Dezember </w:t>
      </w:r>
      <w:r w:rsidRPr="00F41258">
        <w:t xml:space="preserve">2028 beträgt </w:t>
      </w:r>
      <w:r w:rsidR="00344D34" w:rsidRPr="00F41258">
        <w:t xml:space="preserve">der </w:t>
      </w:r>
      <w:r w:rsidR="00F41EF1" w:rsidRPr="00F41258">
        <w:t>Klima-</w:t>
      </w:r>
      <w:r w:rsidRPr="00F41258">
        <w:t>Bonus 20</w:t>
      </w:r>
      <w:r w:rsidR="00542CD5" w:rsidRPr="00F41258">
        <w:t xml:space="preserve"> Prozentpunkte</w:t>
      </w:r>
      <w:r w:rsidR="00F41EF1" w:rsidRPr="00F41258">
        <w:t>. Ab dem 1. Januar 2029</w:t>
      </w:r>
      <w:r w:rsidRPr="00F41258">
        <w:t xml:space="preserve"> </w:t>
      </w:r>
      <w:r w:rsidR="00EA1146" w:rsidRPr="00F41258">
        <w:t xml:space="preserve">und darauf folgend alle zwei Jahre </w:t>
      </w:r>
      <w:r w:rsidR="00F41EF1" w:rsidRPr="00F41258">
        <w:t xml:space="preserve">sinkt der Bonus </w:t>
      </w:r>
      <w:r w:rsidRPr="00F41258">
        <w:t>um 3 Prozentpunkte</w:t>
      </w:r>
      <w:r w:rsidR="006139D9" w:rsidRPr="00F41258">
        <w:t>.</w:t>
      </w:r>
      <w:r w:rsidR="00624D57" w:rsidRPr="00F41258">
        <w:t xml:space="preserve"> </w:t>
      </w:r>
    </w:p>
    <w:p w14:paraId="64C80B1A" w14:textId="61A254FF" w:rsidR="001A5897" w:rsidRPr="00F41258" w:rsidRDefault="001A5897" w:rsidP="00583FF0">
      <w:r w:rsidRPr="00F41258">
        <w:lastRenderedPageBreak/>
        <w:t>In Gebäuden mit mehr als einer Wohneinheit wird der Bonus nur anteilig für die gesamten geförderten Kosten gewährt. Der anzusetzende Anteil entspricht dem Anteil der in dem Gebäude durch verschiedene Eigentümer</w:t>
      </w:r>
      <w:r w:rsidR="00B87F6D" w:rsidRPr="00F41258">
        <w:t xml:space="preserve"> nachweislich</w:t>
      </w:r>
      <w:r w:rsidRPr="00F41258">
        <w:t xml:space="preserve"> selbstgenutzten Wohneinheiten.</w:t>
      </w:r>
    </w:p>
    <w:p w14:paraId="209850FF" w14:textId="238D5B34" w:rsidR="00123B40" w:rsidRPr="00F41258" w:rsidRDefault="00123B40" w:rsidP="00082886">
      <w:pPr>
        <w:pStyle w:val="berschrift3"/>
      </w:pPr>
      <w:bookmarkStart w:id="113" w:name="_Einkommens-Bonus"/>
      <w:bookmarkStart w:id="114" w:name="_Toc144908019"/>
      <w:bookmarkEnd w:id="113"/>
      <w:r w:rsidRPr="00F41258">
        <w:t>Einkommens-Bonus</w:t>
      </w:r>
      <w:bookmarkEnd w:id="114"/>
    </w:p>
    <w:p w14:paraId="00F0AF77" w14:textId="76A0AB80" w:rsidR="00DE10EA" w:rsidRPr="00F41258" w:rsidRDefault="00DE10EA" w:rsidP="00BB0DD2">
      <w:r w:rsidRPr="00F41258">
        <w:t xml:space="preserve">Der Bonus von 30 Prozentpunkten wird selbstnutzenden Eigentümern </w:t>
      </w:r>
      <w:r w:rsidR="002D17BD" w:rsidRPr="00F41258">
        <w:t>einem zu versteuernden Haushaltsjahreseinkommen bis zu 40</w:t>
      </w:r>
      <w:r w:rsidR="00287774" w:rsidRPr="00F41258">
        <w:t> </w:t>
      </w:r>
      <w:r w:rsidR="002D17BD" w:rsidRPr="00F41258">
        <w:t xml:space="preserve">000 </w:t>
      </w:r>
      <w:r w:rsidR="003B334C" w:rsidRPr="00F41258">
        <w:t>Euro</w:t>
      </w:r>
      <w:r w:rsidR="00B62993" w:rsidRPr="00F41258">
        <w:t xml:space="preserve"> für Maßnahmen nach Nummer 5.3 nur </w:t>
      </w:r>
      <w:r w:rsidR="00287774" w:rsidRPr="00F41258">
        <w:t xml:space="preserve">für die </w:t>
      </w:r>
      <w:r w:rsidR="00B62993" w:rsidRPr="00F41258">
        <w:t>selbstgenutzte Wohneinheit</w:t>
      </w:r>
      <w:r w:rsidR="002D17BD" w:rsidRPr="00F41258">
        <w:t xml:space="preserve"> </w:t>
      </w:r>
      <w:r w:rsidRPr="00F41258">
        <w:t>gewährt</w:t>
      </w:r>
      <w:r w:rsidR="00BB0DD2" w:rsidRPr="00F41258">
        <w:t>.</w:t>
      </w:r>
      <w:r w:rsidR="00B62993" w:rsidRPr="00F41258">
        <w:t xml:space="preserve"> </w:t>
      </w:r>
    </w:p>
    <w:p w14:paraId="1AD9A593" w14:textId="1EC12531" w:rsidR="00232CB1" w:rsidRPr="00F41258" w:rsidRDefault="00232CB1" w:rsidP="00222B28">
      <w:pPr>
        <w:pStyle w:val="berschrift3"/>
      </w:pPr>
      <w:bookmarkStart w:id="115" w:name="_Fördersatz_Fachplanung_und"/>
      <w:bookmarkStart w:id="116" w:name="_Toc144908020"/>
      <w:bookmarkEnd w:id="115"/>
      <w:r w:rsidRPr="00F41258">
        <w:t>Fördersatz Fachplanung und Baubegleitung</w:t>
      </w:r>
      <w:bookmarkEnd w:id="116"/>
    </w:p>
    <w:p w14:paraId="3DC1791D" w14:textId="4B7DF783" w:rsidR="00410935" w:rsidRPr="00F41258" w:rsidRDefault="00232CB1" w:rsidP="00583FF0">
      <w:r w:rsidRPr="00F41258">
        <w:t xml:space="preserve">Für förderfähige Kosten der energetischen Fachplanung und Baubegleitung nach </w:t>
      </w:r>
      <w:hyperlink w:anchor="_Fachplanung_und_Baubegleitung_1" w:history="1">
        <w:r w:rsidRPr="00F41258">
          <w:rPr>
            <w:rStyle w:val="Hyperlink"/>
          </w:rPr>
          <w:t>Nummer 5.5</w:t>
        </w:r>
      </w:hyperlink>
      <w:r w:rsidRPr="00F41258">
        <w:t xml:space="preserve"> beträgt die Förder</w:t>
      </w:r>
      <w:r w:rsidR="00D31606" w:rsidRPr="00F41258">
        <w:t>satz</w:t>
      </w:r>
      <w:r w:rsidRPr="00F41258">
        <w:t xml:space="preserve"> 50 %.</w:t>
      </w:r>
    </w:p>
    <w:p w14:paraId="0A577082" w14:textId="77777777" w:rsidR="007C124D" w:rsidRPr="00F41258" w:rsidRDefault="007C124D" w:rsidP="007C124D">
      <w:pPr>
        <w:pStyle w:val="berschrift2"/>
      </w:pPr>
      <w:r w:rsidRPr="00F41258">
        <w:t>Kreditförderung</w:t>
      </w:r>
    </w:p>
    <w:p w14:paraId="5783D2F0" w14:textId="77777777" w:rsidR="007C124D" w:rsidRPr="00F41258" w:rsidRDefault="007C124D" w:rsidP="007C124D">
      <w:r w:rsidRPr="00F41258">
        <w:t>Der Ergänzungskredit wird als Kredit mit Zinsverbilligung aus Bundesmitteln gewährt.</w:t>
      </w:r>
    </w:p>
    <w:p w14:paraId="7740255D" w14:textId="77777777" w:rsidR="007C124D" w:rsidRPr="00F41258" w:rsidRDefault="007C124D" w:rsidP="007C124D">
      <w:r w:rsidRPr="00F41258">
        <w:t xml:space="preserve">Die maximale Höhe der Förderung ist begrenzt durch die Höchstgrenze der förderfähigen Kosten auf 120.000 Euro nach Nummer 8.3.1 b). </w:t>
      </w:r>
    </w:p>
    <w:p w14:paraId="72E65B5D" w14:textId="77777777" w:rsidR="007C124D" w:rsidRPr="00F41258" w:rsidRDefault="007C124D" w:rsidP="007C124D">
      <w:pPr>
        <w:pStyle w:val="berschrift3"/>
        <w:pBdr>
          <w:top w:val="none" w:sz="0" w:space="0" w:color="auto"/>
          <w:left w:val="none" w:sz="0" w:space="0" w:color="auto"/>
          <w:bottom w:val="none" w:sz="0" w:space="0" w:color="auto"/>
          <w:right w:val="none" w:sz="0" w:space="0" w:color="auto"/>
          <w:between w:val="none" w:sz="0" w:space="0" w:color="auto"/>
        </w:pBdr>
      </w:pPr>
      <w:r w:rsidRPr="00F41258">
        <w:t>Kreditbetrag</w:t>
      </w:r>
    </w:p>
    <w:p w14:paraId="0A4C0549" w14:textId="77777777" w:rsidR="007C124D" w:rsidRPr="00F41258" w:rsidRDefault="007C124D" w:rsidP="007C124D">
      <w:r w:rsidRPr="00F41258">
        <w:t>Ein Kredit kann maximal in Höhe von einhundert Prozent der jeweiligen Höchstgrenze förderfähiger Kosten gewährt werden.</w:t>
      </w:r>
    </w:p>
    <w:p w14:paraId="217376CC" w14:textId="77777777" w:rsidR="007C124D" w:rsidRPr="00F41258" w:rsidRDefault="007C124D" w:rsidP="007C124D">
      <w:pPr>
        <w:pStyle w:val="berschrift3"/>
        <w:pBdr>
          <w:top w:val="none" w:sz="0" w:space="0" w:color="auto"/>
          <w:left w:val="none" w:sz="0" w:space="0" w:color="auto"/>
          <w:bottom w:val="none" w:sz="0" w:space="0" w:color="auto"/>
          <w:right w:val="none" w:sz="0" w:space="0" w:color="auto"/>
          <w:between w:val="none" w:sz="0" w:space="0" w:color="auto"/>
        </w:pBdr>
      </w:pPr>
      <w:r w:rsidRPr="00F41258">
        <w:t>Zinssatz</w:t>
      </w:r>
    </w:p>
    <w:p w14:paraId="65A12934" w14:textId="77777777" w:rsidR="007C124D" w:rsidRPr="00F41258" w:rsidRDefault="007C124D" w:rsidP="00794525">
      <w:pPr>
        <w:pStyle w:val="berschrift4"/>
        <w:numPr>
          <w:ilvl w:val="0"/>
          <w:numId w:val="49"/>
        </w:numPr>
      </w:pPr>
      <w:r w:rsidRPr="00F41258">
        <w:t>Höhe des Zinssatzes</w:t>
      </w:r>
    </w:p>
    <w:p w14:paraId="72B69976" w14:textId="77777777" w:rsidR="007C124D" w:rsidRPr="00F41258" w:rsidRDefault="007C124D" w:rsidP="007C124D">
      <w:r w:rsidRPr="00F41258">
        <w:t>Der Zinssatz orientiert sich an der Kapitalmarktentwicklung.</w:t>
      </w:r>
    </w:p>
    <w:p w14:paraId="0B1425EC" w14:textId="54FDFC2F" w:rsidR="00F63D8A" w:rsidRPr="00F41258" w:rsidRDefault="007C124D" w:rsidP="00794525">
      <w:pPr>
        <w:pStyle w:val="berschrift4"/>
      </w:pPr>
      <w:r w:rsidRPr="00F41258">
        <w:t>Verbilligung aus Bundesmitteln; Prolongationsangebot</w:t>
      </w:r>
      <w:bookmarkStart w:id="117" w:name="_Toc144908021"/>
      <w:bookmarkStart w:id="118" w:name="_Hlk143079275"/>
      <w:r w:rsidR="00794525" w:rsidRPr="00F41258">
        <w:t xml:space="preserve"> </w:t>
      </w:r>
      <w:bookmarkEnd w:id="117"/>
    </w:p>
    <w:p w14:paraId="5647BF45" w14:textId="6362B375" w:rsidR="00277B23" w:rsidRPr="00F41258" w:rsidRDefault="00510E44">
      <w:r w:rsidRPr="00F41258">
        <w:t>Die Höhe des Zinssatzes orientiert sich an der Kapitalmarktentwicklung. Der Zinssatz wird für die Dauer der ersten Zinsbindungsfrist festgeschrieben</w:t>
      </w:r>
      <w:bookmarkStart w:id="119" w:name="_Hlk144474081"/>
      <w:r w:rsidRPr="00F41258">
        <w:t xml:space="preserve">. Für den Zeitraum der ersten Zinsbindungsfrist erfolgt eine Verbilligung aus Bundesmitteln. Der Kredit wird von der KfW an die durchleitenden Finanzierungsinstitute mit einem Zinssatz gewährt, der bis zu 4 Prozentpunkte unterhalb der KfW-Refinanzierungskonditionen liegen kann (gilt exemplarisch für das Angebot mit 30 Jahren Laufzeit und 10 Jahren Zinsbindung; andere Laufzeitangebote barwertig abgeleitet). </w:t>
      </w:r>
      <w:bookmarkEnd w:id="119"/>
      <w:r w:rsidRPr="00F41258">
        <w:t>Bei Krediten, die eine über die Zinsbindungsfrist hinausgehende Laufzeit haben, unterbreitet der Durchführer dem Kreditinstitut des Antragstellers ein Prolongationsangebot ohne Verbilligung aus Mitteln des Bundes. Bei endfälligen Darlehen wird der Zinssatz für die gesamte Kreditlaufzeit festgeschrieben.</w:t>
      </w:r>
      <w:bookmarkEnd w:id="118"/>
    </w:p>
    <w:p w14:paraId="079DCF0A" w14:textId="3492A858" w:rsidR="00232CB1" w:rsidRPr="00F41258" w:rsidRDefault="00232CB1" w:rsidP="00583FF0">
      <w:pPr>
        <w:pStyle w:val="berschrift2"/>
      </w:pPr>
      <w:bookmarkStart w:id="120" w:name="_Toc112915699"/>
      <w:bookmarkStart w:id="121" w:name="_Toc144908025"/>
      <w:r w:rsidRPr="00F41258">
        <w:t>Kumulierungsverbot, Kombination mit anderen Förderprogrammen</w:t>
      </w:r>
      <w:bookmarkEnd w:id="120"/>
      <w:bookmarkEnd w:id="121"/>
    </w:p>
    <w:p w14:paraId="4C1C6030" w14:textId="2AD40917" w:rsidR="00232CB1" w:rsidRPr="00F41258" w:rsidRDefault="00232CB1" w:rsidP="00583FF0">
      <w:r w:rsidRPr="00F41258">
        <w:t xml:space="preserve">Eine Kumulierung einer Förderung für dieselbe Maßnahme nach dieser </w:t>
      </w:r>
      <w:r w:rsidR="00103EB3" w:rsidRPr="00F41258">
        <w:t>Förderr</w:t>
      </w:r>
      <w:r w:rsidRPr="00F41258">
        <w:t xml:space="preserve">ichtlinie </w:t>
      </w:r>
      <w:r w:rsidRPr="00F41258">
        <w:t xml:space="preserve">mit anderen Fördermitteln (Kredite oder Zulagen/Zuschüsse) ist grundsätzlich möglich. Die gleichzeitige Inanspruchnahme einer Förderung nach dieser </w:t>
      </w:r>
      <w:r w:rsidR="00103EB3" w:rsidRPr="00F41258">
        <w:t>Förderr</w:t>
      </w:r>
      <w:r w:rsidRPr="00F41258">
        <w:t>ichtlinie</w:t>
      </w:r>
      <w:r w:rsidRPr="00F41258">
        <w:t xml:space="preserve"> und einer Förderung nach </w:t>
      </w:r>
      <w:r w:rsidR="00C36108" w:rsidRPr="00F41258">
        <w:t xml:space="preserve">der Kommunalrichtlinie </w:t>
      </w:r>
      <w:bookmarkStart w:id="122" w:name="_Hlk116044052"/>
      <w:r w:rsidR="00571AB9" w:rsidRPr="00F41258">
        <w:t xml:space="preserve">sowie der Kälte-Klima-Richtlinie </w:t>
      </w:r>
      <w:bookmarkEnd w:id="122"/>
      <w:r w:rsidR="00C36108" w:rsidRPr="00F41258">
        <w:t xml:space="preserve">der </w:t>
      </w:r>
      <w:r w:rsidR="00C36108" w:rsidRPr="00F41258">
        <w:t>Nation</w:t>
      </w:r>
      <w:r w:rsidR="00E633AF" w:rsidRPr="00F41258">
        <w:t>alen</w:t>
      </w:r>
      <w:r w:rsidR="00C36108" w:rsidRPr="00F41258">
        <w:t xml:space="preserve"> Klimaschutzinitiative (NKI), </w:t>
      </w:r>
      <w:r w:rsidRPr="00F41258">
        <w:t xml:space="preserve">dem </w:t>
      </w:r>
      <w:r w:rsidR="00904583" w:rsidRPr="00F41258">
        <w:t xml:space="preserve">Kraft-Wärme-Kopplungsgesetz (KWKG), dem </w:t>
      </w:r>
      <w:r w:rsidRPr="00F41258">
        <w:lastRenderedPageBreak/>
        <w:t>Erneuerbare-Energien-Gesetz (EEG)</w:t>
      </w:r>
      <w:r w:rsidR="00904583" w:rsidRPr="00F41258">
        <w:t>,</w:t>
      </w:r>
      <w:r w:rsidRPr="00F41258">
        <w:t xml:space="preserve"> </w:t>
      </w:r>
      <w:bookmarkStart w:id="123" w:name="_Hlk65152257"/>
      <w:r w:rsidRPr="00F41258">
        <w:t>einer Bundesförderung für Wärmenetze (z. B. Erneuerbare Energien – Premium, Wärmenetzsysteme 4.0, Bundesförderung für effiziente Wärmenetze)</w:t>
      </w:r>
      <w:r w:rsidR="00904583" w:rsidRPr="00F41258">
        <w:t>,</w:t>
      </w:r>
      <w:r w:rsidRPr="00F41258">
        <w:t xml:space="preserve"> den Vorgängerprogrammen (CO</w:t>
      </w:r>
      <w:r w:rsidRPr="00F41258">
        <w:rPr>
          <w:vertAlign w:val="subscript"/>
        </w:rPr>
        <w:t>2</w:t>
      </w:r>
      <w:r w:rsidRPr="00F41258">
        <w:t>-Gebäudesanierungsprogramm/EBS-Programme, Marktanreizprogramm (MAP), Anreizprogramm Energieeffizienz (APEE)</w:t>
      </w:r>
      <w:r w:rsidR="00904583" w:rsidRPr="00F41258">
        <w:t>,</w:t>
      </w:r>
      <w:r w:rsidRPr="00F41258">
        <w:t xml:space="preserve"> Heizungsoptimierung (HZO)) oder dem </w:t>
      </w:r>
      <w:r w:rsidR="00DD380C" w:rsidRPr="00F41258">
        <w:t>Förderp</w:t>
      </w:r>
      <w:r w:rsidRPr="00F41258">
        <w:t>rogramm</w:t>
      </w:r>
      <w:r w:rsidRPr="00F41258">
        <w:t xml:space="preserve"> „Zuschuss Brennstoffzelle“ </w:t>
      </w:r>
      <w:bookmarkEnd w:id="123"/>
      <w:r w:rsidRPr="00F41258">
        <w:t xml:space="preserve">für dieselben förderfähigen Kosten ist nicht möglich. </w:t>
      </w:r>
    </w:p>
    <w:p w14:paraId="52398D14" w14:textId="41C59DA7" w:rsidR="008F387F" w:rsidRPr="00F41258" w:rsidRDefault="00232CB1" w:rsidP="00222B28">
      <w:r w:rsidRPr="00F41258">
        <w:t>Ergibt sich infolge der Kumulierung für die zu fördernde Maßnahme ein Förder</w:t>
      </w:r>
      <w:r w:rsidR="00410935" w:rsidRPr="00F41258">
        <w:t>satz</w:t>
      </w:r>
      <w:r w:rsidRPr="00F41258">
        <w:t xml:space="preserve"> aus öffentlichen Mitteln von insgesamt mehr als 60 %, hat dies der Fördernehmer dem jeweiligen Durchführer anzuzeigen. </w:t>
      </w:r>
      <w:bookmarkStart w:id="124" w:name="_Hlk106192450"/>
      <w:r w:rsidR="008F387F" w:rsidRPr="00F41258">
        <w:t xml:space="preserve">Übersteigt die </w:t>
      </w:r>
      <w:r w:rsidR="009C6F02" w:rsidRPr="00F41258">
        <w:t>Zuschuss</w:t>
      </w:r>
      <w:r w:rsidR="00BE4D8B" w:rsidRPr="00F41258">
        <w:t>f</w:t>
      </w:r>
      <w:r w:rsidR="008F387F" w:rsidRPr="00F41258">
        <w:t>örderung</w:t>
      </w:r>
      <w:r w:rsidR="008F387F" w:rsidRPr="00F41258">
        <w:t xml:space="preserve"> mit allen öffentlichen Mitteln die Grenze von 60 % der </w:t>
      </w:r>
      <w:r w:rsidR="00130B42" w:rsidRPr="00F41258">
        <w:t xml:space="preserve">geförderten </w:t>
      </w:r>
      <w:r w:rsidR="008F387F" w:rsidRPr="00F41258">
        <w:t xml:space="preserve">Investitionskosten, wird der Anteil der BEG-Förderung entsprechend reduziert, bis </w:t>
      </w:r>
      <w:r w:rsidR="00576893" w:rsidRPr="00F41258">
        <w:t>der</w:t>
      </w:r>
      <w:r w:rsidR="008F387F" w:rsidRPr="00F41258">
        <w:t xml:space="preserve"> Fördersatz insgesamt wieder auf 60 % sinkt. Der überschüssige Betrag </w:t>
      </w:r>
      <w:r w:rsidR="00C052D2" w:rsidRPr="00F41258">
        <w:t>ist durch den Fördernehmer zurückzuerstatten</w:t>
      </w:r>
      <w:r w:rsidR="008F387F" w:rsidRPr="00F41258">
        <w:t xml:space="preserve">. Es müssen anteilig nur die sich bei der Kumulierung überschneidenden förderfähigen Kosten der jeweiligen </w:t>
      </w:r>
      <w:r w:rsidR="00103EB3" w:rsidRPr="00F41258">
        <w:t>Förderp</w:t>
      </w:r>
      <w:r w:rsidR="00576893" w:rsidRPr="00F41258">
        <w:t>rogramme</w:t>
      </w:r>
      <w:r w:rsidR="008F387F" w:rsidRPr="00F41258">
        <w:t xml:space="preserve"> angesetzt werden. Ob eine weitere Förderung für eine durch die BEG geförderte Maßnahme in Anspruch genommen wurde, ist im Zuge des Einreichens des Verwendungsnachweises anzugeben.</w:t>
      </w:r>
      <w:r w:rsidR="00C35D18" w:rsidRPr="00F41258">
        <w:t xml:space="preserve"> Für Maßnahmen von kommunalen Antragstellern ist abweichend davon eine Förderquote von insgesamt bis zu 90 % zulässig.</w:t>
      </w:r>
    </w:p>
    <w:bookmarkEnd w:id="124"/>
    <w:p w14:paraId="42ACB77F" w14:textId="489ED377" w:rsidR="00232CB1" w:rsidRPr="00F41258" w:rsidRDefault="00232CB1" w:rsidP="00583FF0">
      <w:r w:rsidRPr="00F41258">
        <w:t>Für dieselbe</w:t>
      </w:r>
      <w:r w:rsidR="007C124D" w:rsidRPr="00F41258">
        <w:t>n förderfähigen Kosten</w:t>
      </w:r>
      <w:r w:rsidRPr="00F41258">
        <w:t xml:space="preserve"> darf jeweils nur ein Antrag entweder bei der KfW oder dem BAFA gestellt werden; eine doppelte Antragstellung ist ausgeschlossen. </w:t>
      </w:r>
      <w:bookmarkStart w:id="125" w:name="_Hlk144455369"/>
      <w:r w:rsidR="00CA4409" w:rsidRPr="00F41258">
        <w:t xml:space="preserve">Dies gilt nicht für die Kombination der Zuschussförderung mit dem Ergänzungskredit nach </w:t>
      </w:r>
      <w:hyperlink w:anchor="_Art_der_Förderung" w:history="1">
        <w:r w:rsidR="00CA4409" w:rsidRPr="00F41258">
          <w:rPr>
            <w:rStyle w:val="Hyperlink"/>
          </w:rPr>
          <w:t>Nummer 8.1</w:t>
        </w:r>
      </w:hyperlink>
      <w:bookmarkEnd w:id="125"/>
      <w:r w:rsidR="00CA4409" w:rsidRPr="00F41258">
        <w:t>.</w:t>
      </w:r>
      <w:r w:rsidRPr="00F41258">
        <w:t xml:space="preserve"> </w:t>
      </w:r>
      <w:r w:rsidRPr="00F41258">
        <w:t xml:space="preserve">Für ein Gebäude können jedoch zwei oder mehr Anträge gestellt werden für unterschiedliche Einzelmaßnahmen und gegebenenfalls von unterschiedlichen Antragstellern (Contractor, Eigentümer) solange die in </w:t>
      </w:r>
      <w:hyperlink w:anchor="_Höchstgrenze_förderfähiger_Kosten" w:history="1">
        <w:r w:rsidRPr="00F41258">
          <w:rPr>
            <w:rStyle w:val="Hyperlink"/>
          </w:rPr>
          <w:t>Nummer 8.3</w:t>
        </w:r>
      </w:hyperlink>
      <w:r w:rsidRPr="00F41258">
        <w:t xml:space="preserve"> festgelegten Höchstgrenzen förderfähiger Kosten pro Kalenderjahr eingehalten werden.</w:t>
      </w:r>
    </w:p>
    <w:p w14:paraId="77085A46" w14:textId="0D548542" w:rsidR="00232CB1" w:rsidRPr="00F41258" w:rsidRDefault="00232CB1" w:rsidP="00583FF0">
      <w:r w:rsidRPr="00F41258">
        <w:t xml:space="preserve">Ebenso ist eine Kumulierung mit der steuerlichen Förderung </w:t>
      </w:r>
      <w:r w:rsidR="00C40C4F" w:rsidRPr="00F41258">
        <w:t>nach §</w:t>
      </w:r>
      <w:r w:rsidR="000D34B3" w:rsidRPr="00F41258">
        <w:t xml:space="preserve"> </w:t>
      </w:r>
      <w:r w:rsidR="00C40C4F" w:rsidRPr="00F41258">
        <w:t>35a und §</w:t>
      </w:r>
      <w:r w:rsidR="000D34B3" w:rsidRPr="00F41258">
        <w:t xml:space="preserve"> </w:t>
      </w:r>
      <w:r w:rsidR="00C40C4F" w:rsidRPr="00F41258">
        <w:t>35c</w:t>
      </w:r>
      <w:r w:rsidR="00B86A55" w:rsidRPr="00F41258">
        <w:t xml:space="preserve"> </w:t>
      </w:r>
      <w:r w:rsidR="00B07CEA" w:rsidRPr="00F41258">
        <w:t xml:space="preserve">Einkommensteuergesetz (EStG) </w:t>
      </w:r>
      <w:r w:rsidRPr="00F41258">
        <w:t xml:space="preserve">ausgeschlossen. Antragsteller müssen sich verpflichten, für dieselbe Maßnahme keinen Antrag auf steuerliche Förderung zu stellen </w:t>
      </w:r>
      <w:bookmarkStart w:id="126" w:name="_Hlk71126334"/>
      <w:r w:rsidRPr="00F41258">
        <w:t>oder bestätigen, dass kein Antrag auf steuerliche Förderung gestellt wurde</w:t>
      </w:r>
      <w:bookmarkEnd w:id="126"/>
      <w:r w:rsidRPr="00F41258">
        <w:t xml:space="preserve">. Bei Durchführung mehrerer unterschiedlicher Maßnahmen kann jedoch eine Förderung nach dieser </w:t>
      </w:r>
      <w:r w:rsidR="00941DEF" w:rsidRPr="00F41258">
        <w:t>Förderr</w:t>
      </w:r>
      <w:r w:rsidRPr="00F41258">
        <w:t>ichtlinie</w:t>
      </w:r>
      <w:r w:rsidRPr="00F41258">
        <w:t xml:space="preserve"> für einzelne Maßnahmen mit der steuerlichen Förderung der energetischen Gebäudesanierung für einzelne andere Maßnahmen kombiniert werden.</w:t>
      </w:r>
    </w:p>
    <w:p w14:paraId="167C3927" w14:textId="53764767" w:rsidR="00232CB1" w:rsidRPr="00F41258" w:rsidRDefault="00232CB1" w:rsidP="00583FF0">
      <w:pPr>
        <w:pStyle w:val="berschrift1"/>
      </w:pPr>
      <w:bookmarkStart w:id="127" w:name="_Toc112915700"/>
      <w:bookmarkStart w:id="128" w:name="_Toc144908026"/>
      <w:r w:rsidRPr="00F41258">
        <w:t>Verfahren</w:t>
      </w:r>
      <w:bookmarkEnd w:id="127"/>
      <w:bookmarkEnd w:id="128"/>
    </w:p>
    <w:p w14:paraId="36A93B40" w14:textId="011EA8BC" w:rsidR="00232CB1" w:rsidRPr="00F41258" w:rsidRDefault="00232CB1" w:rsidP="00583FF0">
      <w:pPr>
        <w:pStyle w:val="berschrift2"/>
      </w:pPr>
      <w:bookmarkStart w:id="129" w:name="_Toc112915701"/>
      <w:bookmarkStart w:id="130" w:name="_Toc144908027"/>
      <w:r w:rsidRPr="00F41258">
        <w:t>Zuständigkeit; Informationen, Merkblätter, Öffentlichkeitsarbeit</w:t>
      </w:r>
      <w:bookmarkEnd w:id="129"/>
      <w:bookmarkEnd w:id="130"/>
    </w:p>
    <w:p w14:paraId="1552D4ED" w14:textId="63C0A6CA" w:rsidR="00232CB1" w:rsidRPr="00F41258" w:rsidRDefault="00232CB1" w:rsidP="00583FF0">
      <w:r w:rsidRPr="00F41258">
        <w:t xml:space="preserve">Mit der Durchführung dieses Förderprogramms hat das </w:t>
      </w:r>
      <w:r w:rsidR="002056E7" w:rsidRPr="00F41258">
        <w:t>BMWK</w:t>
      </w:r>
      <w:r w:rsidRPr="00F41258">
        <w:t xml:space="preserve"> beauftragt:</w:t>
      </w:r>
    </w:p>
    <w:p w14:paraId="5AC0600B" w14:textId="77777777" w:rsidR="001D5E3A" w:rsidRPr="00F41258" w:rsidRDefault="001D5E3A" w:rsidP="00583FF0"/>
    <w:p w14:paraId="25BF574C" w14:textId="77777777" w:rsidR="00232CB1" w:rsidRPr="00F41258" w:rsidRDefault="00232CB1" w:rsidP="00583FF0">
      <w:r w:rsidRPr="00F41258">
        <w:t>Bundesamt für Wirtschaft und Ausfuhrkontrolle (BAFA)</w:t>
      </w:r>
    </w:p>
    <w:p w14:paraId="3884D839" w14:textId="77777777" w:rsidR="00232CB1" w:rsidRPr="00F41258" w:rsidRDefault="00232CB1" w:rsidP="00583FF0">
      <w:r w:rsidRPr="00F41258">
        <w:t>Frankfurter Straße 29 – 35</w:t>
      </w:r>
    </w:p>
    <w:p w14:paraId="5B67E5D6" w14:textId="70CB91DC" w:rsidR="00232CB1" w:rsidRPr="00F41258" w:rsidRDefault="00232CB1" w:rsidP="00583FF0">
      <w:r w:rsidRPr="00F41258">
        <w:t>65760 Eschborn</w:t>
      </w:r>
    </w:p>
    <w:p w14:paraId="6859D529" w14:textId="77777777" w:rsidR="002056E7" w:rsidRPr="00F41258" w:rsidRDefault="002056E7" w:rsidP="00583FF0"/>
    <w:p w14:paraId="3BE9287F" w14:textId="5437A83C" w:rsidR="00232CB1" w:rsidRPr="00F41258" w:rsidRDefault="00232CB1" w:rsidP="00583FF0">
      <w:r w:rsidRPr="00F41258">
        <w:t>KfW</w:t>
      </w:r>
      <w:r w:rsidR="00725F49" w:rsidRPr="00F41258">
        <w:t xml:space="preserve"> Bankengruppe</w:t>
      </w:r>
    </w:p>
    <w:p w14:paraId="7AC35D3C" w14:textId="77777777" w:rsidR="00232CB1" w:rsidRPr="00F41258" w:rsidRDefault="00232CB1" w:rsidP="00583FF0">
      <w:r w:rsidRPr="00F41258">
        <w:t>Palmengartenstraße 5 – 9</w:t>
      </w:r>
    </w:p>
    <w:p w14:paraId="33DCC37B" w14:textId="77777777" w:rsidR="00232CB1" w:rsidRPr="00F41258" w:rsidRDefault="00232CB1" w:rsidP="00583FF0">
      <w:r w:rsidRPr="00F41258">
        <w:t>60325 Frankfurt am Main.</w:t>
      </w:r>
    </w:p>
    <w:p w14:paraId="7ED47F4C" w14:textId="77777777" w:rsidR="001D5E3A" w:rsidRPr="00F41258" w:rsidRDefault="001D5E3A" w:rsidP="00583FF0"/>
    <w:p w14:paraId="6D947FED" w14:textId="678DDE61" w:rsidR="007C124D" w:rsidRPr="00F41258" w:rsidRDefault="007C124D" w:rsidP="007C124D">
      <w:r w:rsidRPr="00F41258">
        <w:t xml:space="preserve">Im Teilprogramm BEG EM liegt die Zuständigkeit für die Durchführung der Zuschussförderung für Maßnahmen nach Nummer 5.1, 5.2, 5.3 Buchstabe g, 5.4 und </w:t>
      </w:r>
      <w:proofErr w:type="gramStart"/>
      <w:r w:rsidRPr="00F41258">
        <w:t>5.5  beim</w:t>
      </w:r>
      <w:proofErr w:type="gramEnd"/>
      <w:r w:rsidRPr="00F41258">
        <w:t xml:space="preserve"> BAFA und für Maßnahmen nach Nummer 5.3 Buchstabe a bis f sowie h bis j bei der KfW.</w:t>
      </w:r>
    </w:p>
    <w:p w14:paraId="74FCAA12" w14:textId="77777777" w:rsidR="007C124D" w:rsidRPr="00F41258" w:rsidRDefault="007C124D" w:rsidP="007C124D">
      <w:r w:rsidRPr="00F41258">
        <w:t xml:space="preserve">Die Zuständigkeit für die Durchführung der Kreditförderung liegt bei der KfW; die Kreditförderung der KfW wird </w:t>
      </w:r>
      <w:r w:rsidRPr="00F41258" w:rsidDel="00B67A2E">
        <w:t xml:space="preserve">den Fördernehmern </w:t>
      </w:r>
      <w:r w:rsidRPr="00F41258">
        <w:t>ab dem 1. Januar 2024 angeboten. Die Kredit- und Zuschussförderung der KfW wird auf privatrechtlicher Grundlage abgewickelt.</w:t>
      </w:r>
    </w:p>
    <w:p w14:paraId="1356374F" w14:textId="77777777" w:rsidR="007C124D" w:rsidRPr="00F41258" w:rsidRDefault="007C124D" w:rsidP="00583FF0"/>
    <w:p w14:paraId="1B878886" w14:textId="00DEEB31" w:rsidR="00A66D6F" w:rsidRPr="00F41258" w:rsidRDefault="00232CB1" w:rsidP="00583FF0">
      <w:r w:rsidRPr="00F41258">
        <w:t xml:space="preserve">BAFA und KfW stellen auf ihren Webseiten unter </w:t>
      </w:r>
      <w:hyperlink r:id="rId9" w:tooltip="http://www.bafa.de" w:history="1">
        <w:r w:rsidRPr="00F41258">
          <w:rPr>
            <w:u w:val="single"/>
          </w:rPr>
          <w:t>www.bafa.de</w:t>
        </w:r>
      </w:hyperlink>
      <w:r w:rsidRPr="00F41258">
        <w:t xml:space="preserve"> und </w:t>
      </w:r>
      <w:hyperlink r:id="rId10" w:tooltip="http://www.kfw.de" w:history="1">
        <w:r w:rsidRPr="00F41258">
          <w:rPr>
            <w:u w:val="single"/>
          </w:rPr>
          <w:t>www.kfw.de</w:t>
        </w:r>
      </w:hyperlink>
      <w:r w:rsidRPr="00F41258">
        <w:t xml:space="preserve"> sowie in geeigneten weiteren Formaten in enger Abstimmung mit dem </w:t>
      </w:r>
      <w:r w:rsidR="002056E7" w:rsidRPr="00F41258">
        <w:t>BMWK</w:t>
      </w:r>
      <w:r w:rsidRPr="00F41258">
        <w:t xml:space="preserve"> detaillierte Informationen zum Förderprogramm sowie zu ihrer Förderpraxis der Öffentlichkeit bereit, regelmäßig unter Verwendung des Namens „Bundesförderung für effiziente Gebäude“ oder der Kurzbezeichnung BEG des Förderprogramms sowie unter Bezugnahme auf diese Förderrichtlinie. </w:t>
      </w:r>
    </w:p>
    <w:p w14:paraId="472A5B03" w14:textId="02F15633" w:rsidR="00232CB1" w:rsidRPr="00F41258" w:rsidRDefault="00232CB1" w:rsidP="00583FF0">
      <w:r w:rsidRPr="00F41258">
        <w:t xml:space="preserve">Das BAFA und die KfW erstellen in enger Abstimmung mit dem </w:t>
      </w:r>
      <w:r w:rsidR="002056E7" w:rsidRPr="00F41258">
        <w:t>BMWK</w:t>
      </w:r>
      <w:r w:rsidRPr="00F41258">
        <w:t xml:space="preserve"> die Antragsverfahren nebst etwaig erforderlichen Bestätigungen bzw. Nachweisen und informieren darüber auf ihren Webseiten.</w:t>
      </w:r>
    </w:p>
    <w:p w14:paraId="3EF26512" w14:textId="361A269B" w:rsidR="00232CB1" w:rsidRPr="00F41258" w:rsidRDefault="00232CB1" w:rsidP="00583FF0">
      <w:r w:rsidRPr="00F41258">
        <w:t xml:space="preserve">Von KfW und BAFA erstellte Programminformationen, die Gegenstand, Förderkonditionen und Antragsverfahren </w:t>
      </w:r>
      <w:r w:rsidR="00FC1615" w:rsidRPr="00F41258">
        <w:t>zur BEG</w:t>
      </w:r>
      <w:r w:rsidRPr="00F41258">
        <w:t xml:space="preserve"> für Interessierte leicht verständlich zusammenfassen, müssen in ihren Inhalten mit der vorliegenden </w:t>
      </w:r>
      <w:r w:rsidR="00941DEF" w:rsidRPr="00F41258">
        <w:t>Förderr</w:t>
      </w:r>
      <w:r w:rsidRPr="00F41258">
        <w:t>ichtlinie</w:t>
      </w:r>
      <w:r w:rsidRPr="00F41258">
        <w:t xml:space="preserve"> übereinstimmen. </w:t>
      </w:r>
      <w:r w:rsidR="00FC1615" w:rsidRPr="00F41258">
        <w:t xml:space="preserve">Inhaltliche Änderungen der Programminformationen müssen mit dem Bund abgestimmt werden. </w:t>
      </w:r>
      <w:r w:rsidRPr="00F41258">
        <w:t xml:space="preserve">Widersprechen sich die Programminformationen und die vorliegende </w:t>
      </w:r>
      <w:r w:rsidR="00941DEF" w:rsidRPr="00F41258">
        <w:t>Förderr</w:t>
      </w:r>
      <w:r w:rsidRPr="00F41258">
        <w:t>ichtlinie</w:t>
      </w:r>
      <w:r w:rsidRPr="00F41258">
        <w:t xml:space="preserve">, </w:t>
      </w:r>
      <w:r w:rsidR="00FC1615" w:rsidRPr="00F41258">
        <w:t>hat letztere Vorrang</w:t>
      </w:r>
      <w:r w:rsidRPr="00F41258">
        <w:t>.</w:t>
      </w:r>
    </w:p>
    <w:p w14:paraId="741C3B5A" w14:textId="0C0FC173" w:rsidR="00232CB1" w:rsidRPr="00F41258" w:rsidRDefault="00232CB1" w:rsidP="00583FF0">
      <w:r w:rsidRPr="00F41258">
        <w:t xml:space="preserve">BAFA und KfW stimmen eine etwaige Öffentlichkeitsarbeit zu diesem Förderprogramm, regelmäßig unter Nutzung des Namens „Bundesförderung für effiziente Gebäude“ oder der Kurzbezeichnung BEG eng mit dem </w:t>
      </w:r>
      <w:r w:rsidR="002056E7" w:rsidRPr="00F41258">
        <w:t>BMWK</w:t>
      </w:r>
      <w:r w:rsidRPr="00F41258">
        <w:t xml:space="preserve"> ab. Sie arbeiten in Abstimmung mit dem </w:t>
      </w:r>
      <w:r w:rsidR="002056E7" w:rsidRPr="00F41258">
        <w:t>BMWK</w:t>
      </w:r>
      <w:r w:rsidRPr="00F41258">
        <w:t xml:space="preserve"> eng mit Evaluatoren, dem Bundesrechnungshof sowie den Prüforganen der Europäischen Union zusammen.</w:t>
      </w:r>
    </w:p>
    <w:p w14:paraId="7A1DE766" w14:textId="73EFBE3E" w:rsidR="00232CB1" w:rsidRPr="00F41258" w:rsidRDefault="00232CB1" w:rsidP="00583FF0">
      <w:pPr>
        <w:pStyle w:val="berschrift2"/>
      </w:pPr>
      <w:bookmarkStart w:id="131" w:name="_Toc112915702"/>
      <w:bookmarkStart w:id="132" w:name="_Toc144908028"/>
      <w:r w:rsidRPr="00F41258">
        <w:t>Antragstellung, Umsetzung eines iSFP</w:t>
      </w:r>
      <w:bookmarkEnd w:id="131"/>
      <w:bookmarkEnd w:id="132"/>
    </w:p>
    <w:p w14:paraId="6843300F" w14:textId="2447D590" w:rsidR="00232CB1" w:rsidRPr="00F41258" w:rsidRDefault="00232CB1" w:rsidP="00583FF0">
      <w:r w:rsidRPr="00F41258">
        <w:t xml:space="preserve">Für die Förderung nach dieser </w:t>
      </w:r>
      <w:r w:rsidR="00941DEF" w:rsidRPr="00F41258">
        <w:t>Förderr</w:t>
      </w:r>
      <w:r w:rsidRPr="00F41258">
        <w:t>ichtlinie</w:t>
      </w:r>
      <w:r w:rsidRPr="00F41258">
        <w:t xml:space="preserve"> gilt ein zweistufiges Antragsverfahren. Die Antragstellung einschließlich der Einreichung aller erforderlichen Unterlagen und Nachweise zum Antrag erfolgt gemäß den jeweiligen Antragsverfahren der Durchführer. Der zuständige Durchführer ist berechtigt, bei Bedarf weitere Unterlagen zu verlangen sowie verpflichtende elektronische Formulare für notwendige Unterlagen bereitzustellen.</w:t>
      </w:r>
    </w:p>
    <w:p w14:paraId="55192D0A" w14:textId="165AD310" w:rsidR="00A749FD" w:rsidRPr="00F41258" w:rsidRDefault="00A749FD" w:rsidP="00A749FD">
      <w:pPr>
        <w:pStyle w:val="berschrift3"/>
      </w:pPr>
      <w:r w:rsidRPr="00F41258">
        <w:t>Antragstellung Investitionszuschüsse</w:t>
      </w:r>
    </w:p>
    <w:p w14:paraId="4BF9FD7D" w14:textId="11562780" w:rsidR="00D444F4" w:rsidRDefault="00232CB1" w:rsidP="00D444F4">
      <w:r w:rsidRPr="00F41258">
        <w:t>Förderanträge</w:t>
      </w:r>
      <w:r w:rsidR="00A749FD" w:rsidRPr="00F41258">
        <w:t xml:space="preserve"> für Investitionszuschüsse</w:t>
      </w:r>
      <w:r w:rsidRPr="00F41258">
        <w:t xml:space="preserve"> sind vor Vorhabenbeginn </w:t>
      </w:r>
      <w:r w:rsidR="00404FBD" w:rsidRPr="00F41258">
        <w:t xml:space="preserve">für </w:t>
      </w:r>
      <w:r w:rsidR="00196817" w:rsidRPr="00F41258">
        <w:t xml:space="preserve">die nach </w:t>
      </w:r>
      <w:hyperlink w:anchor="_Höchstgrenzen_bei_Wohngebäuden" w:history="1">
        <w:r w:rsidR="00196817" w:rsidRPr="00F41258">
          <w:rPr>
            <w:rStyle w:val="Hyperlink"/>
          </w:rPr>
          <w:t>Nummern 8.3.1</w:t>
        </w:r>
      </w:hyperlink>
      <w:r w:rsidR="00196817" w:rsidRPr="00F41258">
        <w:t xml:space="preserve"> und </w:t>
      </w:r>
      <w:hyperlink w:anchor="_Höchstgrenzen_bei_Nichtwohngebäuden" w:history="1">
        <w:r w:rsidR="00196817" w:rsidRPr="00F41258">
          <w:rPr>
            <w:rStyle w:val="Hyperlink"/>
          </w:rPr>
          <w:t>8.3.2</w:t>
        </w:r>
      </w:hyperlink>
      <w:r w:rsidR="00196817" w:rsidRPr="00F41258">
        <w:t xml:space="preserve"> maßgeblichen Bemessungsgrundlagen</w:t>
      </w:r>
      <w:r w:rsidR="00404FBD" w:rsidRPr="00F41258">
        <w:t xml:space="preserve"> </w:t>
      </w:r>
      <w:r w:rsidRPr="00F41258">
        <w:t>zu stellen.</w:t>
      </w:r>
      <w:r w:rsidRPr="00F41258">
        <w:t xml:space="preserve"> </w:t>
      </w:r>
      <w:r w:rsidR="009B52E1" w:rsidRPr="00F41258">
        <w:t>Abweichend davon ka</w:t>
      </w:r>
      <w:r w:rsidR="00D03A92" w:rsidRPr="00F41258">
        <w:t>n</w:t>
      </w:r>
      <w:r w:rsidR="009B52E1" w:rsidRPr="00F41258">
        <w:t>n</w:t>
      </w:r>
      <w:r w:rsidR="00D03A92" w:rsidRPr="00F41258">
        <w:t xml:space="preserve"> </w:t>
      </w:r>
      <w:r w:rsidR="00032E6A" w:rsidRPr="00F41258">
        <w:t xml:space="preserve">für die Förderung von Heizungstechnik nach </w:t>
      </w:r>
      <w:hyperlink w:anchor="_Anlagen_zur_Wärmeerzeugung" w:history="1">
        <w:r w:rsidR="00032E6A" w:rsidRPr="00F41258">
          <w:rPr>
            <w:rStyle w:val="Hyperlink"/>
          </w:rPr>
          <w:t>Nummer 5.3</w:t>
        </w:r>
      </w:hyperlink>
      <w:r w:rsidR="00D03A92" w:rsidRPr="00F41258">
        <w:t xml:space="preserve"> </w:t>
      </w:r>
      <w:r w:rsidR="009B52E1" w:rsidRPr="00F41258">
        <w:t xml:space="preserve">bei einem Vorhabenbeginn zwischen dem Datum der Veröffentlichung der </w:t>
      </w:r>
      <w:r w:rsidR="00DD380C" w:rsidRPr="00F41258">
        <w:t>Förderr</w:t>
      </w:r>
      <w:r w:rsidR="009B52E1" w:rsidRPr="00F41258">
        <w:t>ichtlinie im BAn</w:t>
      </w:r>
      <w:r w:rsidR="00D444F4">
        <w:t>z</w:t>
      </w:r>
      <w:bookmarkStart w:id="133" w:name="_GoBack"/>
      <w:bookmarkEnd w:id="133"/>
      <w:r w:rsidR="009B52E1" w:rsidRPr="00F41258">
        <w:t xml:space="preserve"> und 30. Juni 2024, der Förderantrag bis zum 30. September 2024 nachgeholt werden.</w:t>
      </w:r>
      <w:r w:rsidRPr="00F41258">
        <w:t xml:space="preserve"> Als Vorhabenbeginn gilt grundsätzlich der Abschluss eines der Ausführung zuzurechnenden Lieferungs- oder </w:t>
      </w:r>
      <w:r w:rsidRPr="00F41258">
        <w:lastRenderedPageBreak/>
        <w:t xml:space="preserve">Leistungsvertrags; dies gilt auch bei Nachinvestitionen im Rahmen bestehender Contractingverträge, bei denen das Vorhaben der Nachinvestition erst mit Abschluss der weiteren Liefer- und Leistungsverträge des Contractors mit Dritten beginnt. Planungs- und Beratungsleistungen dürfen vor Antragstellung erbracht werden und führen für sich genommen nicht zur Annahme eines Vorhabenbeginns. Für den Zeitpunkt der Antragstellung ist das Datum des Eingangs des Antrags beim </w:t>
      </w:r>
      <w:r w:rsidR="00E0544A" w:rsidRPr="00F41258">
        <w:t xml:space="preserve">Durchführer </w:t>
      </w:r>
      <w:r w:rsidRPr="00F41258">
        <w:t>maßgeblich.</w:t>
      </w:r>
      <w:r w:rsidR="0055180F" w:rsidRPr="00F41258">
        <w:t xml:space="preserve"> </w:t>
      </w:r>
      <w:r w:rsidR="00FB2760" w:rsidRPr="00F41258">
        <w:t>Der Vorhabenbeginn vor Bewilligung</w:t>
      </w:r>
      <w:r w:rsidR="00A749FD" w:rsidRPr="00F41258">
        <w:t xml:space="preserve"> bzw. Förderzusage</w:t>
      </w:r>
      <w:r w:rsidR="00FB2760" w:rsidRPr="00F41258">
        <w:t xml:space="preserve"> </w:t>
      </w:r>
      <w:bookmarkStart w:id="134" w:name="_Hlk121408828"/>
      <w:r w:rsidR="00FB2760" w:rsidRPr="00F41258">
        <w:t xml:space="preserve">des Antrags ist zulässig, </w:t>
      </w:r>
      <w:bookmarkEnd w:id="134"/>
      <w:r w:rsidR="00FB2760" w:rsidRPr="00F41258">
        <w:t>erfolgt aber auf eigenes Risiko und begründet keinen Rechtsanspruch auf Förderung.</w:t>
      </w:r>
      <w:r w:rsidR="00981725" w:rsidRPr="00F41258">
        <w:t xml:space="preserve"> </w:t>
      </w:r>
      <w:r w:rsidRPr="00F41258">
        <w:t xml:space="preserve">Dem Antrag sind die geforderten Nachweise beizufügen. </w:t>
      </w:r>
    </w:p>
    <w:p w14:paraId="35AC2495" w14:textId="794E4D57" w:rsidR="00A749FD" w:rsidRPr="00F41258" w:rsidRDefault="00A749FD" w:rsidP="00A749FD">
      <w:pPr>
        <w:pStyle w:val="berschrift3"/>
      </w:pPr>
      <w:r w:rsidRPr="00F41258">
        <w:t>Antragstellung Kreditförderung</w:t>
      </w:r>
    </w:p>
    <w:p w14:paraId="5CFD9A6F" w14:textId="081A88B1" w:rsidR="00A749FD" w:rsidRPr="00F41258" w:rsidRDefault="00A749FD" w:rsidP="00A749FD">
      <w:r w:rsidRPr="00F41258">
        <w:t>Die Kreditförderung (Ergänzungskredit) nach dieser Förderrichtlinie wird erst ab dem [XX</w:t>
      </w:r>
      <w:proofErr w:type="gramStart"/>
      <w:r w:rsidRPr="00F41258">
        <w:t>].[</w:t>
      </w:r>
      <w:proofErr w:type="gramEnd"/>
      <w:r w:rsidRPr="00F41258">
        <w:t>XX].2024 angeboten, Förderanträge können erst ab diesem Tag gestellt werden. Alle Antragsteller oder deren Bevollmächtigte stellen den Antrag über ein Finanzinstitut (Hausbank) ihrer Wahl. Voraussetzung für den Ergänzungskredit ist ein Zuwendungsbescheids bzw. eine Zuschusszusage. Die KfW ist berechtigt, bei Bedarf weitere Unterlagen zu verlangen und verpflichtende elektronische Formulare für notwendige Unterlagen bzw. Erklärungen bereitzustellen.</w:t>
      </w:r>
    </w:p>
    <w:p w14:paraId="3A0F5B80" w14:textId="77777777" w:rsidR="00862A20" w:rsidRPr="00F41258" w:rsidRDefault="00862A20" w:rsidP="00862A20">
      <w:r w:rsidRPr="00F41258">
        <w:t>Die Einhaltung zum Vorhabenbeginn gem. 9.2.1 wird durch die Antragstellung des Investitionszuschusses nachgewiesen.</w:t>
      </w:r>
    </w:p>
    <w:p w14:paraId="073BA104" w14:textId="77777777" w:rsidR="00862A20" w:rsidRPr="00F41258" w:rsidRDefault="00862A20" w:rsidP="00862A20">
      <w:pPr>
        <w:pStyle w:val="berschrift3"/>
      </w:pPr>
      <w:r w:rsidRPr="00F41258">
        <w:t>Antragstellung bei gemischt genutzten Gebäuden</w:t>
      </w:r>
    </w:p>
    <w:p w14:paraId="404BAF93" w14:textId="0211AC7E" w:rsidR="00232CB1" w:rsidRPr="00F41258" w:rsidRDefault="00232CB1" w:rsidP="00583FF0">
      <w:r w:rsidRPr="00F41258">
        <w:t>Bei gemischt genutzten Gebäuden müssen unter bestimmten Voraussetzungen, die sich aus dem GEG ableiten, die unterschiedlich genutzten Teile von Gebäuden getrennt als Wohn- oder Nichtwohngebäude behandelt werden. Entsprechend hat die Antragstellung als Wohn- oder als Nichtwohngebäude auf Basis der gesetzlichen Grundlage (GEG) zu erfolgen.</w:t>
      </w:r>
    </w:p>
    <w:p w14:paraId="329B79F0" w14:textId="77777777" w:rsidR="00232CB1" w:rsidRPr="00F41258" w:rsidRDefault="00232CB1" w:rsidP="00583FF0">
      <w:r w:rsidRPr="00F41258">
        <w:t>Alternativ gilt für gemischt genutzte Wohngebäude (Wohnfläche im Gebäude beträgt mehr als 50 % der beheizten Gebäudefläche):</w:t>
      </w:r>
    </w:p>
    <w:p w14:paraId="11A1B65F" w14:textId="24664FC8" w:rsidR="00232CB1" w:rsidRPr="00F41258" w:rsidRDefault="00232CB1" w:rsidP="009B6F99">
      <w:pPr>
        <w:pStyle w:val="Listenabsatz"/>
        <w:numPr>
          <w:ilvl w:val="0"/>
          <w:numId w:val="14"/>
        </w:numPr>
      </w:pPr>
      <w:r w:rsidRPr="00F41258">
        <w:t>Der Nichtwohngebäudeteil darf (für alle Einzelmaßnahmen) dann getrennt behandelt werden, wenn der Flächenanteil mehr als 10 % beträgt.</w:t>
      </w:r>
    </w:p>
    <w:p w14:paraId="03DE073F" w14:textId="6F1F130C" w:rsidR="00232CB1" w:rsidRPr="00F41258" w:rsidRDefault="00232CB1" w:rsidP="009B6F99">
      <w:pPr>
        <w:pStyle w:val="KeinLeerraum"/>
        <w:numPr>
          <w:ilvl w:val="0"/>
          <w:numId w:val="14"/>
        </w:numPr>
        <w:spacing w:line="276" w:lineRule="auto"/>
        <w:rPr>
          <w:rFonts w:ascii="Arial" w:eastAsia="Arial" w:hAnsi="Arial" w:cs="Arial"/>
          <w:lang w:val="de-DE"/>
        </w:rPr>
      </w:pPr>
      <w:r w:rsidRPr="00F41258">
        <w:rPr>
          <w:rFonts w:ascii="Arial" w:eastAsia="Arial" w:hAnsi="Arial" w:cs="Arial"/>
          <w:lang w:val="de-DE"/>
        </w:rPr>
        <w:t>Spezifische BEG-Einzelmaßnahmen für Nichtwohngebäude sind im Nichtwohngebäudeteil auch unabhängig vom Flächenanteil der Nichtwohnnutzung förderfähig.</w:t>
      </w:r>
    </w:p>
    <w:p w14:paraId="77C8C038" w14:textId="162A9837" w:rsidR="00232CB1" w:rsidRPr="00F41258" w:rsidRDefault="00232CB1" w:rsidP="009B6F99">
      <w:pPr>
        <w:pStyle w:val="KeinLeerraum"/>
        <w:numPr>
          <w:ilvl w:val="0"/>
          <w:numId w:val="14"/>
        </w:numPr>
        <w:spacing w:line="276" w:lineRule="auto"/>
        <w:rPr>
          <w:rFonts w:ascii="Arial" w:eastAsia="Arial" w:hAnsi="Arial" w:cs="Arial"/>
          <w:lang w:val="de-DE"/>
        </w:rPr>
      </w:pPr>
      <w:r w:rsidRPr="00F41258">
        <w:rPr>
          <w:rFonts w:ascii="Arial" w:eastAsia="Arial" w:hAnsi="Arial" w:cs="Arial"/>
          <w:lang w:val="de-DE"/>
        </w:rPr>
        <w:t>Eine zentrale Heizungsanlage (einschließlich des hydraulischen Abgleichs beziehungsweise bei bestehenden Anlagen deren Optimierung) sowie eine zentrale Lüftungsanlage ist für das Gesamtgebäude über die BEG EM für Wohngebäude förderfähig. Für die Ermittlung des Förderhöchstbetrages zählen in diesem Fall die Nichtwohnflächen nicht als Wohneinheiten.</w:t>
      </w:r>
    </w:p>
    <w:p w14:paraId="6B83175B" w14:textId="77777777" w:rsidR="00232CB1" w:rsidRPr="00F41258" w:rsidRDefault="00232CB1" w:rsidP="00583FF0">
      <w:r w:rsidRPr="00F41258">
        <w:t>Alternativ gilt für gemischt genutzte Nichtwohngebäude (Gebäude, bei den mindestens 50 % der beheizten oder auch gekühlten Nettogrundfläche zu Nichtwohnzwecken genutzt wird):</w:t>
      </w:r>
    </w:p>
    <w:p w14:paraId="1F23F75F" w14:textId="350299F1" w:rsidR="00232CB1" w:rsidRPr="00F41258" w:rsidRDefault="00232CB1" w:rsidP="009B6F99">
      <w:pPr>
        <w:pStyle w:val="KeinLeerraum"/>
        <w:numPr>
          <w:ilvl w:val="0"/>
          <w:numId w:val="12"/>
        </w:numPr>
        <w:spacing w:line="276" w:lineRule="auto"/>
        <w:rPr>
          <w:rFonts w:ascii="Arial" w:eastAsia="Arial" w:hAnsi="Arial" w:cs="Arial"/>
          <w:lang w:val="de-DE"/>
        </w:rPr>
      </w:pPr>
      <w:r w:rsidRPr="00F41258">
        <w:rPr>
          <w:rFonts w:ascii="Arial" w:eastAsia="Arial" w:hAnsi="Arial" w:cs="Arial"/>
          <w:lang w:val="de-DE"/>
        </w:rPr>
        <w:t>Der Wohngebäudeteil darf unabhängig vom Flächenanteil der Wohnnutzung getrennt behandelt werden (bei vollständigen Wohneinheiten).</w:t>
      </w:r>
    </w:p>
    <w:p w14:paraId="41D5ADFC" w14:textId="3FD87A8F" w:rsidR="00232CB1" w:rsidRPr="00F41258" w:rsidRDefault="00232CB1" w:rsidP="009B6F99">
      <w:pPr>
        <w:pStyle w:val="KeinLeerraum"/>
        <w:numPr>
          <w:ilvl w:val="0"/>
          <w:numId w:val="12"/>
        </w:numPr>
        <w:spacing w:line="276" w:lineRule="auto"/>
        <w:rPr>
          <w:rFonts w:ascii="Arial" w:eastAsia="Arial" w:hAnsi="Arial" w:cs="Arial"/>
          <w:lang w:val="de-DE"/>
        </w:rPr>
      </w:pPr>
      <w:r w:rsidRPr="00F41258">
        <w:rPr>
          <w:rFonts w:ascii="Arial" w:eastAsia="Arial" w:hAnsi="Arial" w:cs="Arial"/>
          <w:lang w:val="de-DE"/>
        </w:rPr>
        <w:lastRenderedPageBreak/>
        <w:t>Eine zentrale Heizungsanlage (einschließlich des hydraulischen Abgleichs beziehungsweise bei bestehenden Anlagen deren Optimierung) sowie eine zentrale Lüftungsanlage ist für das Gesamtgebäude über die BEG EM für Nichtwohngebäude förderfähig. Für die Ermittlung des Förderhöchstbetrages zählen in diesem Fall die zu Wohnzwecken genutzten Flächen ebenfalls zur Nettogrundfläche.</w:t>
      </w:r>
    </w:p>
    <w:p w14:paraId="1E6522D5" w14:textId="77777777" w:rsidR="00862A20" w:rsidRPr="00F41258" w:rsidRDefault="00862A20" w:rsidP="00862A20">
      <w:pPr>
        <w:pStyle w:val="berschrift3"/>
      </w:pPr>
      <w:r w:rsidRPr="00F41258">
        <w:t>Einbindung iSFP in die Antragstellung</w:t>
      </w:r>
    </w:p>
    <w:p w14:paraId="3D807869" w14:textId="769C36FF" w:rsidR="00232CB1" w:rsidRPr="00F41258" w:rsidRDefault="00232CB1" w:rsidP="000C165F">
      <w:pPr>
        <w:pBdr>
          <w:top w:val="none" w:sz="0" w:space="0" w:color="auto"/>
          <w:left w:val="none" w:sz="0" w:space="0" w:color="auto"/>
          <w:bottom w:val="none" w:sz="0" w:space="0" w:color="auto"/>
          <w:right w:val="none" w:sz="0" w:space="0" w:color="auto"/>
          <w:between w:val="none" w:sz="0" w:space="0" w:color="auto"/>
        </w:pBdr>
        <w:spacing w:before="0"/>
      </w:pPr>
      <w:r w:rsidRPr="00F41258">
        <w:t>Erfolgt eine Maßnahme im Rahmen der Umsetzung eines im Förderprogramm „Bundesförderung für Energieberatung für Wohngebäude“</w:t>
      </w:r>
      <w:r w:rsidR="0092276E" w:rsidRPr="00F41258">
        <w:t xml:space="preserve"> (EBW)</w:t>
      </w:r>
      <w:r w:rsidRPr="00F41258">
        <w:t xml:space="preserve"> geförderten iSFP</w:t>
      </w:r>
      <w:r w:rsidR="00C40C4F" w:rsidRPr="00F41258">
        <w:t xml:space="preserve"> </w:t>
      </w:r>
      <w:r w:rsidR="000C165F" w:rsidRPr="00F41258">
        <w:t xml:space="preserve">und </w:t>
      </w:r>
      <w:r w:rsidR="00C40C4F" w:rsidRPr="00F41258">
        <w:t xml:space="preserve">soll ein </w:t>
      </w:r>
      <w:r w:rsidR="005D0AED" w:rsidRPr="00F41258">
        <w:t>B</w:t>
      </w:r>
      <w:r w:rsidR="00C40C4F" w:rsidRPr="00F41258">
        <w:t xml:space="preserve">onus </w:t>
      </w:r>
      <w:r w:rsidR="00B36020" w:rsidRPr="00F41258">
        <w:t xml:space="preserve">nach </w:t>
      </w:r>
      <w:hyperlink w:anchor="_Bonus_für_die" w:history="1">
        <w:r w:rsidR="0091582B" w:rsidRPr="00F41258">
          <w:rPr>
            <w:rStyle w:val="Hyperlink"/>
          </w:rPr>
          <w:t>Nummer 8.4.2</w:t>
        </w:r>
      </w:hyperlink>
      <w:r w:rsidR="00B36020" w:rsidRPr="00F41258">
        <w:t xml:space="preserve"> gewährt werden</w:t>
      </w:r>
      <w:r w:rsidRPr="00F41258">
        <w:t xml:space="preserve">, so ist dies unter Bezugnahme auf den iSFP im Rahmen des Antrags zu kennzeichnen. Bei der Antragstellung ist ein </w:t>
      </w:r>
      <w:r w:rsidRPr="00F41258">
        <w:rPr>
          <w:spacing w:val="2"/>
        </w:rPr>
        <w:t xml:space="preserve">Energieeffizienz-Experte einzubeziehen. Der Energieeffizienz-Experte prüft im Rahmen der Prüfung des Antrags auch, ob die beantragte Maßnahme dem iSFP entspricht und sie daher als iSFP-Maßnahme gewertet werden kann; unwesentliche inhaltliche Abweichungen, eine Übererfüllung der iSFP-Vorgaben oder Änderungen der zeitlichen Reihenfolge sind dabei unschädlich. </w:t>
      </w:r>
      <w:r w:rsidRPr="00F41258">
        <w:t>Liegt eine wesentliche inhaltliche Abweichung im Sinne einer Untererfüllung der iSFP-Vorgaben vor, kann die Maßnahme nicht als iSFP-Maßnahme gewertet werden.</w:t>
      </w:r>
      <w:r w:rsidRPr="00F41258">
        <w:rPr>
          <w:spacing w:val="2"/>
        </w:rPr>
        <w:t xml:space="preserve"> </w:t>
      </w:r>
      <w:r w:rsidRPr="00F41258">
        <w:t>Die Durchführer sind berechtigt, bei Bedarf weitere Unterlagen bzw. Auskünfte zum iSFP zu verlangen und verpflichtende elektronische Formulare für notwendige Unterlagen bzw. Erklärungen bereitzustellen.</w:t>
      </w:r>
    </w:p>
    <w:p w14:paraId="1362726E" w14:textId="77777777" w:rsidR="00862A20" w:rsidRPr="00F41258" w:rsidRDefault="00862A20" w:rsidP="00862A20">
      <w:pPr>
        <w:pStyle w:val="berschrift3"/>
      </w:pPr>
      <w:r w:rsidRPr="00F41258">
        <w:t>Verzicht auf eine Zusage</w:t>
      </w:r>
    </w:p>
    <w:p w14:paraId="04982226" w14:textId="54A9555A" w:rsidR="00232CB1" w:rsidRPr="00F41258" w:rsidRDefault="00232CB1" w:rsidP="00583FF0">
      <w:r w:rsidRPr="00F41258">
        <w:t xml:space="preserve">Ein Verzicht auf die Zusage ist direkt beim Durchführer </w:t>
      </w:r>
      <w:r w:rsidR="00625D69" w:rsidRPr="00F41258">
        <w:t xml:space="preserve">(Zuschuss) </w:t>
      </w:r>
      <w:r w:rsidR="00E80451" w:rsidRPr="00F41258">
        <w:t>bzw.</w:t>
      </w:r>
      <w:r w:rsidR="007E7A91" w:rsidRPr="00F41258">
        <w:t xml:space="preserve"> über das kreditdurchleitende Finanzierungsinstitut (Kredit) </w:t>
      </w:r>
      <w:r w:rsidRPr="00F41258">
        <w:t>möglich.</w:t>
      </w:r>
      <w:r w:rsidRPr="00F41258">
        <w:t xml:space="preserve"> </w:t>
      </w:r>
      <w:bookmarkStart w:id="135" w:name="_Hlk81898189"/>
      <w:r w:rsidRPr="00F41258">
        <w:t xml:space="preserve">Frühestens sechs Monate nach Eingang der Verzichtserklärung beim Durchführer kann in der BEG EM ein neuer Antrag für das gleiche Vorhaben (identisches </w:t>
      </w:r>
      <w:r w:rsidR="00D54F1D" w:rsidRPr="00F41258">
        <w:t xml:space="preserve">Gebäude </w:t>
      </w:r>
      <w:r w:rsidRPr="00F41258">
        <w:t xml:space="preserve">und identische Maßnahmen) gestellt werden („Sperrfrist“). </w:t>
      </w:r>
      <w:r w:rsidR="00A37A8C" w:rsidRPr="00F41258">
        <w:t>Abweichend davon kann</w:t>
      </w:r>
      <w:r w:rsidR="00830727" w:rsidRPr="00F41258">
        <w:t xml:space="preserve"> für einen Zeitraum von 12 Monaten ab Inkrafttreten dieser </w:t>
      </w:r>
      <w:r w:rsidR="00941DEF" w:rsidRPr="00F41258">
        <w:t>Förderr</w:t>
      </w:r>
      <w:r w:rsidR="00830727" w:rsidRPr="00F41258">
        <w:t>ichtlinie</w:t>
      </w:r>
      <w:r w:rsidR="00A37A8C" w:rsidRPr="00F41258">
        <w:t xml:space="preserve"> bei einem Verzicht auf Zusage eines Antrags für die Förderung von </w:t>
      </w:r>
      <w:r w:rsidR="00830727" w:rsidRPr="00F41258">
        <w:t>Heizungstechnik</w:t>
      </w:r>
      <w:r w:rsidR="00A37A8C" w:rsidRPr="00F41258">
        <w:t xml:space="preserve"> nach </w:t>
      </w:r>
      <w:hyperlink w:anchor="_Anlagen_zur_Wärmeerzeugung" w:history="1">
        <w:r w:rsidR="00A37A8C" w:rsidRPr="00F41258">
          <w:rPr>
            <w:rStyle w:val="Hyperlink"/>
          </w:rPr>
          <w:t>Nummer 5.3</w:t>
        </w:r>
      </w:hyperlink>
      <w:r w:rsidR="00A37A8C" w:rsidRPr="00F41258">
        <w:t xml:space="preserve"> </w:t>
      </w:r>
      <w:r w:rsidR="00830727" w:rsidRPr="00F41258">
        <w:t xml:space="preserve">ein neuer Antrag unmittelbar nach Eingang der Verzichtserklärung gestellt werden. </w:t>
      </w:r>
      <w:r w:rsidRPr="00F41258">
        <w:t xml:space="preserve">Für den neuen Antrag gelten die dann aktuellen Förderbedingungen einschließlich der Regelungen zum Vorhabenbeginn. </w:t>
      </w:r>
      <w:bookmarkEnd w:id="135"/>
    </w:p>
    <w:p w14:paraId="5DB9611A" w14:textId="3AA7098F" w:rsidR="00232CB1" w:rsidRPr="00F41258" w:rsidRDefault="00232CB1" w:rsidP="00583FF0">
      <w:pPr>
        <w:pStyle w:val="berschrift2"/>
      </w:pPr>
      <w:bookmarkStart w:id="136" w:name="_Toc112915703"/>
      <w:bookmarkStart w:id="137" w:name="_Toc144908029"/>
      <w:bookmarkStart w:id="138" w:name="_Hlk64558096"/>
      <w:r w:rsidRPr="00F41258">
        <w:t>Fachunternehmererklärung/Einbindung eines Energieeffizienz-Experten</w:t>
      </w:r>
      <w:bookmarkEnd w:id="136"/>
      <w:bookmarkEnd w:id="137"/>
    </w:p>
    <w:p w14:paraId="2BCF07AD" w14:textId="446F0D9D" w:rsidR="00232CB1" w:rsidRPr="00F41258" w:rsidRDefault="00232CB1" w:rsidP="00583FF0">
      <w:bookmarkStart w:id="139" w:name="_Hlk64558088"/>
      <w:bookmarkStart w:id="140" w:name="_Hlk69298896"/>
      <w:bookmarkEnd w:id="138"/>
      <w:r w:rsidRPr="00F41258">
        <w:t xml:space="preserve">Für Anträge auf Förderung von Einzelmaßnahmen nach </w:t>
      </w:r>
      <w:hyperlink w:anchor="_Anlagen_zur_Wärmeerzeugung" w:history="1">
        <w:r w:rsidRPr="00F41258">
          <w:rPr>
            <w:rStyle w:val="Hyperlink"/>
          </w:rPr>
          <w:t>Nummer 5.3</w:t>
        </w:r>
      </w:hyperlink>
      <w:r w:rsidRPr="00F41258">
        <w:t xml:space="preserve"> und </w:t>
      </w:r>
      <w:hyperlink w:anchor="_Heizungsoptimierung" w:history="1">
        <w:r w:rsidRPr="00F41258">
          <w:rPr>
            <w:rStyle w:val="Hyperlink"/>
          </w:rPr>
          <w:t>5.4</w:t>
        </w:r>
      </w:hyperlink>
      <w:r w:rsidR="00F6246A" w:rsidRPr="00F41258">
        <w:t xml:space="preserve"> (ohne iSFP-Bonus)</w:t>
      </w:r>
      <w:r w:rsidRPr="00F41258">
        <w:t xml:space="preserve">, </w:t>
      </w:r>
      <w:r w:rsidR="00E0544A" w:rsidRPr="00F41258">
        <w:t>mit Ausnahme der Errichtung, Umbau oder Erweiterung von Gebäudenetzen</w:t>
      </w:r>
      <w:r w:rsidRPr="00F41258">
        <w:t>, ist die Erklärung eines Fachunternehmers für Heizungstechnik über die Einhaltung der technischen Mindestanforderungen, sowie über die mit der Maßnahme erreichte Verbesserung des energetischen Niveaus des Gebäudes im Sinne einer Erhöhung der Energieeffizienz und/oder des Anteils erneuerbarer Energien am Endenergieverbrauch des Gebäudes und die voraussichtlichen Kosten ausreichend („Fachunternehmererklärung“). Abweichend hiervon kann die Einhaltung der technischen Mindestanforderungen, die Verbesserung des energetischen Niveaus des Gebäudes, sowie die voraussichtlichen Kosten für die Einzelmaßnahme bzw. die Einzelmaßnahmen aber auch von einem Experten der Energieeffizienz-Experten-Liste (</w:t>
      </w:r>
      <w:hyperlink r:id="rId11" w:tooltip="http://www.energie-effizienz-experten.de" w:history="1">
        <w:r w:rsidRPr="00F41258">
          <w:rPr>
            <w:u w:val="single"/>
          </w:rPr>
          <w:t>www.energie-effizienz-experten.de</w:t>
        </w:r>
      </w:hyperlink>
      <w:r w:rsidRPr="00F41258">
        <w:t>) bescheinigt werden.</w:t>
      </w:r>
      <w:bookmarkEnd w:id="139"/>
    </w:p>
    <w:bookmarkEnd w:id="140"/>
    <w:p w14:paraId="2CA117AF" w14:textId="216A24C6" w:rsidR="00436C38" w:rsidRPr="00F41258" w:rsidRDefault="00232CB1" w:rsidP="00583FF0">
      <w:r w:rsidRPr="00F41258">
        <w:lastRenderedPageBreak/>
        <w:t xml:space="preserve">Für Anträge, die auch die Förderung von Einzelmaßnahmen nach </w:t>
      </w:r>
      <w:hyperlink w:anchor="_Einzelmaßnahmen_an_der" w:history="1">
        <w:r w:rsidRPr="00F41258">
          <w:rPr>
            <w:rStyle w:val="Hyperlink"/>
          </w:rPr>
          <w:t>Nummer 5.1</w:t>
        </w:r>
      </w:hyperlink>
      <w:r w:rsidRPr="00F41258">
        <w:t xml:space="preserve">, </w:t>
      </w:r>
      <w:hyperlink w:anchor="_Anlagentechnik_(außer_Heizung)" w:history="1">
        <w:r w:rsidRPr="00F41258">
          <w:rPr>
            <w:rStyle w:val="Hyperlink"/>
          </w:rPr>
          <w:t>5.2</w:t>
        </w:r>
      </w:hyperlink>
      <w:r w:rsidRPr="00F41258">
        <w:t xml:space="preserve"> oder </w:t>
      </w:r>
      <w:hyperlink w:anchor="_Fachplanung_und_Baubegleitung_1" w:history="1">
        <w:r w:rsidRPr="00F41258">
          <w:rPr>
            <w:rStyle w:val="Hyperlink"/>
          </w:rPr>
          <w:t>Nummer 5.5</w:t>
        </w:r>
      </w:hyperlink>
      <w:r w:rsidRPr="00F41258">
        <w:t xml:space="preserve"> beinhalten, sowie für Anträge mit einem iSFP-Bonus</w:t>
      </w:r>
      <w:r w:rsidR="00E0544A" w:rsidRPr="00F41258">
        <w:t xml:space="preserve"> oder zur Errichtung, Umbau oder Erweiterung eines Gebäudenetzes</w:t>
      </w:r>
      <w:r w:rsidRPr="00F41258">
        <w:t>, ist für die Beantragung der Förderung ein Experte der Energieeffizienz-</w:t>
      </w:r>
      <w:r w:rsidRPr="00F41258">
        <w:t>Experten</w:t>
      </w:r>
      <w:r w:rsidR="006A1051" w:rsidRPr="00F41258">
        <w:t>-L</w:t>
      </w:r>
      <w:r w:rsidRPr="00F41258">
        <w:t>iste</w:t>
      </w:r>
      <w:r w:rsidRPr="00F41258">
        <w:t xml:space="preserve"> der jeweils zutreffenden </w:t>
      </w:r>
      <w:r w:rsidR="00E436AB" w:rsidRPr="00F41258">
        <w:t>K</w:t>
      </w:r>
      <w:r w:rsidRPr="00F41258">
        <w:t>ategorie (</w:t>
      </w:r>
      <w:r w:rsidR="00F845A9" w:rsidRPr="00F41258">
        <w:t>BEG</w:t>
      </w:r>
      <w:r w:rsidR="0050132C" w:rsidRPr="00F41258">
        <w:t> </w:t>
      </w:r>
      <w:r w:rsidR="00F845A9" w:rsidRPr="00F41258">
        <w:t>-</w:t>
      </w:r>
      <w:r w:rsidR="0050132C" w:rsidRPr="00F41258">
        <w:t> </w:t>
      </w:r>
      <w:r w:rsidRPr="00F41258">
        <w:t xml:space="preserve">Wohngebäude bzw. </w:t>
      </w:r>
      <w:r w:rsidR="00F845A9" w:rsidRPr="00F41258">
        <w:t>BEG</w:t>
      </w:r>
      <w:r w:rsidR="0050132C" w:rsidRPr="00F41258">
        <w:t> </w:t>
      </w:r>
      <w:r w:rsidR="00F845A9" w:rsidRPr="00F41258">
        <w:t>-</w:t>
      </w:r>
      <w:r w:rsidR="0050132C" w:rsidRPr="00F41258">
        <w:t> </w:t>
      </w:r>
      <w:r w:rsidRPr="00F41258">
        <w:t xml:space="preserve">Nichtwohngebäude) einzubinden. Nach Abschluss des Vorhabens bestätigt der Energieeffizienz-Experte die Einhaltung der technischen Mindestanforderungen und die Verbesserung des energetischen Niveaus des Gebäudes im Sinne einer Erhöhung der Energieeffizienz und/oder des Anteils erneuerbarer Energien am Endenergieverbrauch des Gebäudes durch die Einzelmaßnahme. Er bestätigt auch die für die Maßnahmen angefallenen, förderfähigen Kosten. </w:t>
      </w:r>
    </w:p>
    <w:p w14:paraId="40663A89" w14:textId="3C92DFC4" w:rsidR="00232CB1" w:rsidRPr="00F41258" w:rsidRDefault="006416E9" w:rsidP="00583FF0">
      <w:r w:rsidRPr="00F41258">
        <w:t xml:space="preserve">Für Anträge auf Förderung einer Baubegleitung nach </w:t>
      </w:r>
      <w:hyperlink w:anchor="_Fachplanung_und_Baubegleitung_1" w:history="1">
        <w:r w:rsidRPr="00F41258">
          <w:rPr>
            <w:rStyle w:val="Hyperlink"/>
          </w:rPr>
          <w:t>Nummer 5.5</w:t>
        </w:r>
      </w:hyperlink>
      <w:r w:rsidRPr="00F41258">
        <w:t xml:space="preserve"> ist d</w:t>
      </w:r>
      <w:r w:rsidR="00441D2E" w:rsidRPr="00F41258">
        <w:t>er</w:t>
      </w:r>
      <w:r w:rsidR="00441D2E" w:rsidRPr="00F41258">
        <w:t xml:space="preserve"> Energieeffizienz-Experte für das Bauvorhaben vorhabenbezogen unabhängig zu beauftragen.</w:t>
      </w:r>
      <w:r w:rsidR="00E0544A" w:rsidRPr="00F41258">
        <w:t xml:space="preserve"> </w:t>
      </w:r>
      <w:r w:rsidR="005459A2" w:rsidRPr="00F41258">
        <w:t xml:space="preserve">Der Energieeffizienz-Experte, bzw. das Unternehmen, bei dem der Energieeffizienz-Experte angestellt ist, darf </w:t>
      </w:r>
      <w:r w:rsidR="00C27479" w:rsidRPr="00F41258">
        <w:t xml:space="preserve">in diesem Falle </w:t>
      </w:r>
      <w:r w:rsidR="00862A20" w:rsidRPr="00F41258">
        <w:t xml:space="preserve">– auch mittelbar - </w:t>
      </w:r>
      <w:r w:rsidR="005459A2" w:rsidRPr="00F41258">
        <w:t>also nicht</w:t>
      </w:r>
    </w:p>
    <w:p w14:paraId="2CE06693" w14:textId="33F34C45" w:rsidR="00232CB1" w:rsidRPr="00F41258" w:rsidRDefault="00232CB1" w:rsidP="009B6F99">
      <w:pPr>
        <w:pStyle w:val="Listenabsatz"/>
        <w:numPr>
          <w:ilvl w:val="0"/>
          <w:numId w:val="12"/>
        </w:numPr>
      </w:pPr>
      <w:r w:rsidRPr="00F41258">
        <w:t xml:space="preserve">in einem Inhaber-, </w:t>
      </w:r>
      <w:proofErr w:type="spellStart"/>
      <w:r w:rsidRPr="00F41258">
        <w:t>Gesellschafts</w:t>
      </w:r>
      <w:proofErr w:type="spellEnd"/>
      <w:r w:rsidR="00862A20" w:rsidRPr="00F41258">
        <w:t>/Beteiligungs</w:t>
      </w:r>
      <w:r w:rsidRPr="00F41258">
        <w:t>- oder Beschäftigungsverhältnis zu den bauausführenden Unternehmen oder Lieferanten stehen oder</w:t>
      </w:r>
    </w:p>
    <w:p w14:paraId="37CBCFD9" w14:textId="72DDD64A" w:rsidR="00232CB1" w:rsidRPr="00F41258" w:rsidRDefault="00232CB1" w:rsidP="009B6F99">
      <w:pPr>
        <w:pStyle w:val="Listenabsatz"/>
        <w:numPr>
          <w:ilvl w:val="0"/>
          <w:numId w:val="12"/>
        </w:numPr>
      </w:pPr>
      <w:r w:rsidRPr="00F41258">
        <w:t xml:space="preserve">von diesen Unternehmen oder Lieferanten beauftragt werden oder </w:t>
      </w:r>
    </w:p>
    <w:p w14:paraId="20F18563" w14:textId="699F440F" w:rsidR="00232CB1" w:rsidRPr="00F41258" w:rsidRDefault="00862A20" w:rsidP="009B6F99">
      <w:pPr>
        <w:pStyle w:val="Listenabsatz"/>
        <w:numPr>
          <w:ilvl w:val="0"/>
          <w:numId w:val="12"/>
        </w:numPr>
      </w:pPr>
      <w:r w:rsidRPr="00F41258">
        <w:t xml:space="preserve">von diesem für vermittelte </w:t>
      </w:r>
      <w:r w:rsidR="00232CB1" w:rsidRPr="00F41258">
        <w:t xml:space="preserve">Lieferungen oder Leistungen </w:t>
      </w:r>
      <w:r w:rsidRPr="00F41258">
        <w:t>vergütet werden</w:t>
      </w:r>
      <w:r w:rsidR="00232CB1" w:rsidRPr="00F41258">
        <w:t>.</w:t>
      </w:r>
    </w:p>
    <w:p w14:paraId="25417620" w14:textId="34DA9378" w:rsidR="00655691" w:rsidRPr="00F41258" w:rsidRDefault="00232CB1" w:rsidP="009B6F99">
      <w:pPr>
        <w:pStyle w:val="Listenabsatz"/>
        <w:numPr>
          <w:ilvl w:val="0"/>
          <w:numId w:val="15"/>
        </w:numPr>
      </w:pPr>
      <w:r w:rsidRPr="00F41258">
        <w:rPr>
          <w:spacing w:val="3"/>
        </w:rPr>
        <w:t>.</w:t>
      </w:r>
      <w:r w:rsidR="00655691" w:rsidRPr="00F41258">
        <w:t xml:space="preserve"> </w:t>
      </w:r>
    </w:p>
    <w:p w14:paraId="033234F8" w14:textId="17975649" w:rsidR="00F6246A" w:rsidRPr="00F41258" w:rsidRDefault="00C460B9" w:rsidP="00583FF0">
      <w:bookmarkStart w:id="141" w:name="_Hlk114811887"/>
      <w:r w:rsidRPr="00F41258">
        <w:t>Ist der Energieeffizienz-Experte für das Bauvorhaben nicht vorhabenbezogen unabhängig</w:t>
      </w:r>
      <w:r w:rsidR="005900CA" w:rsidRPr="00F41258">
        <w:t xml:space="preserve">, </w:t>
      </w:r>
      <w:r w:rsidR="005900CA" w:rsidRPr="00F41258">
        <w:rPr>
          <w:lang w:eastAsia="zh-CN"/>
        </w:rPr>
        <w:t>ist dies dem Antragsteller vor Vorhabenbeginn mitzuteilen.</w:t>
      </w:r>
      <w:r w:rsidRPr="00F41258">
        <w:t xml:space="preserve"> </w:t>
      </w:r>
      <w:r w:rsidR="00655691" w:rsidRPr="00F41258">
        <w:t xml:space="preserve">In diesen Fällen wird nicht der Fördersatz nach </w:t>
      </w:r>
      <w:hyperlink w:anchor="_Fördersatz_Fachplanung_und" w:history="1">
        <w:r w:rsidR="00655691" w:rsidRPr="00F41258">
          <w:rPr>
            <w:rStyle w:val="Hyperlink"/>
          </w:rPr>
          <w:t>Nummer 8.4.</w:t>
        </w:r>
        <w:r w:rsidR="00887234" w:rsidRPr="00F41258">
          <w:rPr>
            <w:rStyle w:val="Hyperlink"/>
          </w:rPr>
          <w:t>6</w:t>
        </w:r>
      </w:hyperlink>
      <w:r w:rsidR="00655691" w:rsidRPr="00F41258">
        <w:t xml:space="preserve"> sondern der nach </w:t>
      </w:r>
      <w:hyperlink w:anchor="_Fördersätze_EinzelmaßnahmeGrundförd" w:history="1">
        <w:r w:rsidR="00655691" w:rsidRPr="00F41258">
          <w:rPr>
            <w:rStyle w:val="Hyperlink"/>
          </w:rPr>
          <w:t>Nummer 8.4.1</w:t>
        </w:r>
      </w:hyperlink>
      <w:r w:rsidR="00655691" w:rsidRPr="00F41258">
        <w:t xml:space="preserve"> gewährt. Es können keine zusätzlichen Kosten für Fachplanung und Baubegleitung nach Nummer 8.2 Buchstabe b angesetzt werden.</w:t>
      </w:r>
      <w:r w:rsidR="005900CA" w:rsidRPr="00F41258">
        <w:t xml:space="preserve"> </w:t>
      </w:r>
      <w:bookmarkEnd w:id="141"/>
      <w:r w:rsidR="00232CB1" w:rsidRPr="00F41258">
        <w:t>Bei Sanierungen von Baudenkmalen</w:t>
      </w:r>
      <w:r w:rsidR="00AB5905" w:rsidRPr="00F41258">
        <w:t xml:space="preserve"> oder bei der Inanspruchnahme der angepassten Anforderungswerte gemäß den TMA für sonstige besonders erhaltenswerte Bausubstanz</w:t>
      </w:r>
      <w:r w:rsidR="00232CB1" w:rsidRPr="00F41258">
        <w:t xml:space="preserve"> nach </w:t>
      </w:r>
      <w:hyperlink w:anchor="_Einzelmaßnahmen_an_der" w:history="1">
        <w:r w:rsidR="00232CB1" w:rsidRPr="00F41258">
          <w:rPr>
            <w:rStyle w:val="Hyperlink"/>
          </w:rPr>
          <w:t>Nummer 5.1</w:t>
        </w:r>
      </w:hyperlink>
      <w:r w:rsidR="00232CB1" w:rsidRPr="00F41258">
        <w:t xml:space="preserve"> sind ausschließlich die in der Energieeffizienz-</w:t>
      </w:r>
      <w:r w:rsidR="00232CB1" w:rsidRPr="00F41258">
        <w:t>Experten</w:t>
      </w:r>
      <w:r w:rsidR="006A1051" w:rsidRPr="00F41258">
        <w:t>-L</w:t>
      </w:r>
      <w:r w:rsidR="00232CB1" w:rsidRPr="00F41258">
        <w:t>iste</w:t>
      </w:r>
      <w:r w:rsidR="00232CB1" w:rsidRPr="00F41258">
        <w:t xml:space="preserve"> für Förderprogramme des Bundes (</w:t>
      </w:r>
      <w:hyperlink r:id="rId12" w:tooltip="http://www.energie-effizienz-experten.de" w:history="1">
        <w:r w:rsidR="00232CB1" w:rsidRPr="00F41258">
          <w:rPr>
            <w:u w:val="single"/>
          </w:rPr>
          <w:t>www.energie-effizienz-experten.de</w:t>
        </w:r>
      </w:hyperlink>
      <w:r w:rsidR="00232CB1" w:rsidRPr="00F41258">
        <w:t>) geführten Sachverständigen der Kategorie „</w:t>
      </w:r>
      <w:r w:rsidR="00F845A9" w:rsidRPr="00F41258">
        <w:t>BEG</w:t>
      </w:r>
      <w:r w:rsidR="0050132C" w:rsidRPr="00F41258">
        <w:t> - </w:t>
      </w:r>
      <w:r w:rsidR="00F6246A" w:rsidRPr="00F41258">
        <w:t>Wohngebäude</w:t>
      </w:r>
      <w:r w:rsidR="00F845A9" w:rsidRPr="00F41258">
        <w:t xml:space="preserve"> Denkmal“ bzw. „BEG</w:t>
      </w:r>
      <w:r w:rsidR="0050132C" w:rsidRPr="00F41258">
        <w:t> -</w:t>
      </w:r>
      <w:r w:rsidR="00F845A9" w:rsidRPr="00F41258">
        <w:t xml:space="preserve"> </w:t>
      </w:r>
      <w:r w:rsidR="00F6246A" w:rsidRPr="00F41258">
        <w:t>Nichtwohngebäude</w:t>
      </w:r>
      <w:r w:rsidR="00F845A9" w:rsidRPr="00F41258">
        <w:t xml:space="preserve"> Denkmal</w:t>
      </w:r>
      <w:r w:rsidR="00232CB1" w:rsidRPr="00F41258">
        <w:t>“ zugelassen</w:t>
      </w:r>
      <w:r w:rsidR="00AB5905" w:rsidRPr="00F41258">
        <w:t>.</w:t>
      </w:r>
      <w:r w:rsidR="00232CB1" w:rsidRPr="00F41258">
        <w:t xml:space="preserve"> </w:t>
      </w:r>
    </w:p>
    <w:p w14:paraId="7FA88E57" w14:textId="23D5E2E5" w:rsidR="00232CB1" w:rsidRPr="00F41258" w:rsidRDefault="00232CB1" w:rsidP="00583FF0">
      <w:pPr>
        <w:pStyle w:val="berschrift2"/>
      </w:pPr>
      <w:bookmarkStart w:id="142" w:name="_Toc112915704"/>
      <w:bookmarkStart w:id="143" w:name="_Toc144908030"/>
      <w:r w:rsidRPr="00F41258">
        <w:t>Zusage</w:t>
      </w:r>
      <w:r w:rsidRPr="00F41258">
        <w:t>-</w:t>
      </w:r>
      <w:r w:rsidR="00F07FA3" w:rsidRPr="00F41258">
        <w:t>,</w:t>
      </w:r>
      <w:r w:rsidRPr="00F41258">
        <w:t xml:space="preserve"> Bewilligungsverfahren</w:t>
      </w:r>
      <w:bookmarkEnd w:id="142"/>
      <w:r w:rsidR="00F07FA3" w:rsidRPr="00F41258">
        <w:t xml:space="preserve"> und -zeitraum</w:t>
      </w:r>
      <w:bookmarkEnd w:id="143"/>
    </w:p>
    <w:p w14:paraId="0069A2CF" w14:textId="5F6E43C1" w:rsidR="00232CB1" w:rsidRPr="00F41258" w:rsidRDefault="00232CB1" w:rsidP="00583FF0">
      <w:r w:rsidRPr="00F41258">
        <w:t xml:space="preserve">Für die Bewilligung, Auszahlung und Abrechnung der Zuwendung sowie für den Nachweis und die Prüfung der Verwendung und die gegebenenfalls erforderliche Aufhebung des Zuwendungsbescheids und die Rückforderung der gewährten Zuwendung finden die §§ 48 bis 49a des Verwaltungsverfahrensgesetzes, die §§ 23, 44 BHO und die hierzu erlassenen Allgemeinen Verwaltungsvorschriften Anwendung, soweit nicht in dieser </w:t>
      </w:r>
      <w:r w:rsidR="00941DEF" w:rsidRPr="00F41258">
        <w:t>Förderr</w:t>
      </w:r>
      <w:r w:rsidRPr="00F41258">
        <w:t>ichtlinie</w:t>
      </w:r>
      <w:r w:rsidRPr="00F41258">
        <w:t xml:space="preserve"> Abweichungen von den Allgemeinen Verwaltungsvorschriften zugelassen worden sind. </w:t>
      </w:r>
      <w:r w:rsidR="000A7614" w:rsidRPr="00F41258">
        <w:t>D</w:t>
      </w:r>
      <w:r w:rsidR="00DE496C" w:rsidRPr="00F41258">
        <w:t xml:space="preserve">ie vorgenannten Regelungen </w:t>
      </w:r>
      <w:r w:rsidR="000A7614" w:rsidRPr="00F41258">
        <w:t xml:space="preserve">sind </w:t>
      </w:r>
      <w:r w:rsidR="00DE496C" w:rsidRPr="00F41258">
        <w:t>durch die KfW anzuwenden oder sinngemäß vertragsrechtlich umzusetzen. Das Nähere regelt der zwischen Bund und KfW abzuschließende Mandatarvertrag.</w:t>
      </w:r>
    </w:p>
    <w:p w14:paraId="6F9794C5" w14:textId="381874DC" w:rsidR="00232CB1" w:rsidRPr="00F41258" w:rsidRDefault="00232CB1" w:rsidP="00583FF0">
      <w:r w:rsidRPr="00F41258">
        <w:t xml:space="preserve">Abweichungen von der im Zuwendungsbescheid </w:t>
      </w:r>
      <w:r w:rsidR="00DE496C" w:rsidRPr="00F41258">
        <w:t>bzw. in der Zusage</w:t>
      </w:r>
      <w:r w:rsidRPr="00F41258">
        <w:t xml:space="preserve"> </w:t>
      </w:r>
      <w:r w:rsidRPr="00F41258">
        <w:t xml:space="preserve">bewilligten Maßnahme sind dem </w:t>
      </w:r>
      <w:r w:rsidR="00242C97" w:rsidRPr="00F41258">
        <w:t xml:space="preserve">Durchführer </w:t>
      </w:r>
      <w:r w:rsidRPr="00F41258">
        <w:t xml:space="preserve">unverzüglich anzuzeigen. </w:t>
      </w:r>
    </w:p>
    <w:p w14:paraId="0790A904" w14:textId="534B61AB" w:rsidR="00DE496C" w:rsidRPr="00F41258" w:rsidRDefault="00DE496C" w:rsidP="001D30E6">
      <w:pPr>
        <w:pStyle w:val="berschrift3"/>
      </w:pPr>
      <w:bookmarkStart w:id="144" w:name="_Toc144908031"/>
      <w:bookmarkStart w:id="145" w:name="_Hlk115352837"/>
      <w:r w:rsidRPr="00F41258">
        <w:lastRenderedPageBreak/>
        <w:t>Zuschussförderung</w:t>
      </w:r>
      <w:bookmarkEnd w:id="144"/>
    </w:p>
    <w:p w14:paraId="4DD1EDD3" w14:textId="33F5AE88" w:rsidR="00232CB1" w:rsidRPr="00F41258" w:rsidRDefault="00DF1168" w:rsidP="00583FF0">
      <w:r w:rsidRPr="00F41258">
        <w:t>Die</w:t>
      </w:r>
      <w:r w:rsidR="00232CB1" w:rsidRPr="00F41258">
        <w:t xml:space="preserve"> Zuschussförderung wird nur befristet zugesagt. Die Dauer der Befristung beträgt </w:t>
      </w:r>
      <w:r w:rsidR="006337F0" w:rsidRPr="00F41258">
        <w:t>36</w:t>
      </w:r>
      <w:r w:rsidR="00887234" w:rsidRPr="00F41258">
        <w:t> </w:t>
      </w:r>
      <w:r w:rsidR="00232CB1" w:rsidRPr="00F41258">
        <w:t xml:space="preserve">Monate ab Zugang des Zuwendungsbescheids </w:t>
      </w:r>
      <w:r w:rsidR="00C342F1" w:rsidRPr="00F41258">
        <w:t xml:space="preserve">bzw. der Zuschusszusage </w:t>
      </w:r>
      <w:r w:rsidR="00232CB1" w:rsidRPr="00F41258">
        <w:t xml:space="preserve">(Bewilligungszeitraum). </w:t>
      </w:r>
      <w:bookmarkStart w:id="146" w:name="_Hlk104360603"/>
      <w:r w:rsidR="00232CB1" w:rsidRPr="00F41258">
        <w:t xml:space="preserve"> </w:t>
      </w:r>
    </w:p>
    <w:p w14:paraId="5FD5933D" w14:textId="6D5914C3" w:rsidR="00435210" w:rsidRPr="00F41258" w:rsidRDefault="00DE496C" w:rsidP="00DE496C">
      <w:pPr>
        <w:pStyle w:val="berschrift3"/>
      </w:pPr>
      <w:bookmarkStart w:id="147" w:name="_Toc144908032"/>
      <w:r w:rsidRPr="00F41258">
        <w:t>Kreditförderung</w:t>
      </w:r>
      <w:bookmarkEnd w:id="147"/>
    </w:p>
    <w:p w14:paraId="2D8DDB0B" w14:textId="64ED080E" w:rsidR="00DE496C" w:rsidRPr="00F41258" w:rsidRDefault="00DE496C" w:rsidP="00DE496C">
      <w:r w:rsidRPr="00F41258">
        <w:t xml:space="preserve">Ein Kredit wird nur befristet zugesagt. Der Kredit muss innerhalb von 12 Monaten nach Kreditzusage abgerufen werden (Abruffrist). Diese Frist wird für noch nicht ausgezahlte Kreditbeträge ohne gesonderten Antrag um 24 Monate verlängert. </w:t>
      </w:r>
      <w:r w:rsidR="00862A20" w:rsidRPr="00F41258">
        <w:t xml:space="preserve">Die maximale </w:t>
      </w:r>
      <w:r w:rsidR="00862A20" w:rsidRPr="00F41258">
        <w:t>Abruf</w:t>
      </w:r>
      <w:r w:rsidR="00862A20" w:rsidRPr="00F41258">
        <w:t xml:space="preserve">frist für Einzelmaßnahmen beträgt damit 36 Monate. </w:t>
      </w:r>
      <w:r w:rsidRPr="00F41258">
        <w:t xml:space="preserve">Für den noch nicht abgerufenen Kreditbetrag wird ab dem dreizehnten Monat nach Kreditzusage eine Bereitstellungsprovision für noch nicht ausgezahlte Kreditbeträge fällig. </w:t>
      </w:r>
    </w:p>
    <w:p w14:paraId="7963C488" w14:textId="2402F8A5" w:rsidR="00DE496C" w:rsidRPr="00F41258" w:rsidRDefault="00DE496C" w:rsidP="00DE496C">
      <w:r w:rsidRPr="00F41258">
        <w:t xml:space="preserve">Der Kredit wird nach Ablauf der Tilgungsfreijahre zurückgezahlt. </w:t>
      </w:r>
      <w:r w:rsidR="00862A20" w:rsidRPr="00F41258">
        <w:t>Während der Tilgungsfreijahre und bei der endfälligen Kreditvariante werden lediglich die Zinsen auf die abgerufenen Kreditbeträge gezahlt.</w:t>
      </w:r>
      <w:r w:rsidR="00862A20" w:rsidRPr="00F41258">
        <w:t xml:space="preserve"> Während der Zinsbindungsfrist können außerplanmäßige Tilgungen ohne Zahlung einer Vorfälligkeitsentschädigung vorgenommen werden.</w:t>
      </w:r>
      <w:r w:rsidR="00862A20" w:rsidRPr="00F41258">
        <w:t xml:space="preserve"> </w:t>
      </w:r>
      <w:r w:rsidRPr="00F41258">
        <w:t xml:space="preserve">Zum Ende der Zinsbindung kann der Kredit ohne Kosten teilweise oder komplett zurückgezahlt werden. </w:t>
      </w:r>
    </w:p>
    <w:p w14:paraId="0D7E7B2C" w14:textId="67594610" w:rsidR="00DE496C" w:rsidRPr="00F41258" w:rsidRDefault="00DE496C" w:rsidP="00DE496C">
      <w:r w:rsidRPr="00F41258">
        <w:t>Der Zeitraum, innerhalb dessen die angeforderten (Teil-)Beträge dem festgelegten Verwendungszweck zugeführt werden müssen, beträgt 12 Monate ab Auszahlung des jeweiligen (Teil-)Betrags. Im Fall der Überschreitung dieser Frist hat der Antragsteller einen Zinszuschlag zu zahlen.</w:t>
      </w:r>
    </w:p>
    <w:p w14:paraId="651E04C1" w14:textId="2109A424" w:rsidR="00232CB1" w:rsidRPr="00F41258" w:rsidRDefault="00232CB1" w:rsidP="00583FF0">
      <w:pPr>
        <w:pStyle w:val="berschrift2"/>
      </w:pPr>
      <w:bookmarkStart w:id="148" w:name="_Toc144908033"/>
      <w:r w:rsidRPr="00F41258">
        <w:t>Auszahlung, Nachweisführung</w:t>
      </w:r>
      <w:bookmarkEnd w:id="148"/>
      <w:r w:rsidRPr="00F41258">
        <w:t xml:space="preserve"> </w:t>
      </w:r>
      <w:bookmarkEnd w:id="145"/>
      <w:bookmarkEnd w:id="146"/>
    </w:p>
    <w:p w14:paraId="417B1918" w14:textId="09EAB686" w:rsidR="00105230" w:rsidRPr="00F41258" w:rsidRDefault="00232CB1" w:rsidP="00583FF0">
      <w:r w:rsidRPr="00F41258">
        <w:t xml:space="preserve">Für die Auszahlung des Zuschusses ist die Einreichung eines Nachweises über die sachgerechte Verwendung der Fördermittel, über die Höhe der förderfähigen Kosten sowie die Einhaltung der technischen Mindestanforderungen und die Verbesserung des energetischen Niveaus des Gebäudes im Sinne einer Erhöhung der Energieeffizienz und/oder des Anteils erneuerbarer Energien am Endenergieverbrauch des Gebäudes durch die Einzelmaßnahme bzw. die Einzelmaßnahmen erforderlich („Verwendungsnachweis“). Zusätzlich sind die Nachweise gemäß den technischen Mindestanforderungen zu dieser </w:t>
      </w:r>
      <w:r w:rsidR="00941DEF" w:rsidRPr="00F41258">
        <w:t>Förderr</w:t>
      </w:r>
      <w:r w:rsidRPr="00F41258">
        <w:t>ichtlinie</w:t>
      </w:r>
      <w:r w:rsidRPr="00F41258">
        <w:t xml:space="preserve"> maßnahmenbezogen vorzuhalten.</w:t>
      </w:r>
      <w:r w:rsidR="00075EB4" w:rsidRPr="00F41258">
        <w:t xml:space="preserve"> </w:t>
      </w:r>
    </w:p>
    <w:p w14:paraId="72CCF72E" w14:textId="0C68E410" w:rsidR="00232CB1" w:rsidRPr="00F41258" w:rsidRDefault="00232CB1" w:rsidP="00583FF0">
      <w:r w:rsidRPr="00F41258">
        <w:t xml:space="preserve">Für geförderte Maßnahmen, die auch Einzelmaßnahmen nach </w:t>
      </w:r>
      <w:hyperlink w:anchor="_Einzelmaßnahmen_an_der" w:history="1">
        <w:r w:rsidRPr="00F41258">
          <w:rPr>
            <w:rStyle w:val="Hyperlink"/>
          </w:rPr>
          <w:t>Nummer 5.1</w:t>
        </w:r>
      </w:hyperlink>
      <w:r w:rsidRPr="00F41258">
        <w:t xml:space="preserve">, </w:t>
      </w:r>
      <w:hyperlink w:anchor="_Anlagentechnik_(außer_Heizung)" w:history="1">
        <w:r w:rsidRPr="00F41258">
          <w:rPr>
            <w:rStyle w:val="Hyperlink"/>
          </w:rPr>
          <w:t>5.2</w:t>
        </w:r>
      </w:hyperlink>
      <w:r w:rsidR="000D612B" w:rsidRPr="00F41258">
        <w:t xml:space="preserve">, </w:t>
      </w:r>
      <w:hyperlink w:anchor="_Errichtung,_Umbau_und" w:history="1">
        <w:r w:rsidR="000D612B" w:rsidRPr="00F41258">
          <w:rPr>
            <w:rStyle w:val="Hyperlink"/>
          </w:rPr>
          <w:t xml:space="preserve">5.3 Buchstabe </w:t>
        </w:r>
        <w:r w:rsidR="00887234" w:rsidRPr="00F41258">
          <w:rPr>
            <w:rStyle w:val="Hyperlink"/>
          </w:rPr>
          <w:t>h</w:t>
        </w:r>
      </w:hyperlink>
      <w:r w:rsidRPr="00F41258">
        <w:t xml:space="preserve"> oder </w:t>
      </w:r>
      <w:hyperlink w:anchor="_Fachplanung_und_Baubegleitung_1" w:history="1">
        <w:r w:rsidRPr="00F41258">
          <w:rPr>
            <w:rStyle w:val="Hyperlink"/>
          </w:rPr>
          <w:t>Nummer 5.5</w:t>
        </w:r>
      </w:hyperlink>
      <w:r w:rsidRPr="00F41258">
        <w:t xml:space="preserve"> beinhalten, ist hierfür eine Bestätigung eines Experten der Energieeffizienz-Experten-Liste (</w:t>
      </w:r>
      <w:hyperlink r:id="rId13" w:tooltip="http://www.energie-effizienz-experten.de" w:history="1">
        <w:r w:rsidRPr="00F41258">
          <w:rPr>
            <w:u w:val="single"/>
          </w:rPr>
          <w:t>www.energie-effizienz-experten.de</w:t>
        </w:r>
      </w:hyperlink>
      <w:r w:rsidRPr="00F41258">
        <w:t>) erforderlich, der mit der Bestätigung Kopien der die förderfähigen Kosten belegenden Rechnungen übersendet und die Höhe der förderfähigen Kosten, die Einhaltung der technischen Mindestanforderungen und die Verbesserung des energetischen Niveaus des Gebäudes bestätigt.</w:t>
      </w:r>
    </w:p>
    <w:p w14:paraId="542ADFD2" w14:textId="3EA834B4" w:rsidR="00075EB4" w:rsidRPr="00F41258" w:rsidRDefault="00232CB1" w:rsidP="00583FF0">
      <w:r w:rsidRPr="00F41258">
        <w:t xml:space="preserve">Für geförderte Maßnahmen nach </w:t>
      </w:r>
      <w:hyperlink w:anchor="_Solarthermische_ASolarkollektoranla" w:history="1">
        <w:r w:rsidRPr="00F41258">
          <w:rPr>
            <w:rStyle w:val="Hyperlink"/>
          </w:rPr>
          <w:t>Nummer 5.3</w:t>
        </w:r>
        <w:r w:rsidR="000D612B" w:rsidRPr="00F41258">
          <w:rPr>
            <w:rStyle w:val="Hyperlink"/>
          </w:rPr>
          <w:t xml:space="preserve"> Buchstabe a</w:t>
        </w:r>
      </w:hyperlink>
      <w:r w:rsidR="000D612B" w:rsidRPr="00F41258">
        <w:t xml:space="preserve"> bis </w:t>
      </w:r>
      <w:hyperlink w:anchor="_Innovative_Heizungstechnik_auf" w:history="1">
        <w:r w:rsidR="00887234" w:rsidRPr="00F41258">
          <w:rPr>
            <w:rStyle w:val="Hyperlink"/>
          </w:rPr>
          <w:t>g</w:t>
        </w:r>
      </w:hyperlink>
      <w:r w:rsidR="000D612B" w:rsidRPr="00F41258">
        <w:t xml:space="preserve"> und </w:t>
      </w:r>
      <w:hyperlink w:anchor="_Anschluss_an_ein" w:history="1">
        <w:r w:rsidR="00887234" w:rsidRPr="00F41258">
          <w:rPr>
            <w:rStyle w:val="Hyperlink"/>
          </w:rPr>
          <w:t>i</w:t>
        </w:r>
      </w:hyperlink>
      <w:r w:rsidR="000D612B" w:rsidRPr="00F41258">
        <w:t xml:space="preserve"> bis </w:t>
      </w:r>
      <w:hyperlink w:anchor="_Provisorische_Heiztechnik_bei" w:history="1">
        <w:r w:rsidR="00887234" w:rsidRPr="00F41258">
          <w:rPr>
            <w:rStyle w:val="Hyperlink"/>
          </w:rPr>
          <w:t>k</w:t>
        </w:r>
      </w:hyperlink>
      <w:r w:rsidRPr="00F41258">
        <w:t xml:space="preserve"> </w:t>
      </w:r>
      <w:r w:rsidR="000D612B" w:rsidRPr="00F41258">
        <w:t xml:space="preserve">sowie </w:t>
      </w:r>
      <w:r w:rsidR="00887234" w:rsidRPr="00F41258">
        <w:t xml:space="preserve">nach </w:t>
      </w:r>
      <w:hyperlink w:anchor="_Heizungsoptimierung" w:history="1">
        <w:r w:rsidR="00887234" w:rsidRPr="00F41258">
          <w:rPr>
            <w:rStyle w:val="Hyperlink"/>
          </w:rPr>
          <w:t xml:space="preserve">Nummer </w:t>
        </w:r>
        <w:r w:rsidRPr="00F41258">
          <w:rPr>
            <w:rStyle w:val="Hyperlink"/>
          </w:rPr>
          <w:t>5.4</w:t>
        </w:r>
      </w:hyperlink>
      <w:r w:rsidRPr="00F41258">
        <w:t xml:space="preserve"> ist für den Nachweis der sachgerechten Verwendung der Fördermittel und der Höhe der förderfähigen Kosten die Einreichung von Kopien der Rechnungen, und hinsichtlich der Einhaltung der technischen Mindestanforderungen und der Verbesserung des energetischen Niveaus des Gebäudes im Sinne einer Erhöhung der Energieeffizienz </w:t>
      </w:r>
      <w:r w:rsidRPr="00F41258">
        <w:lastRenderedPageBreak/>
        <w:t>und/oder des Anteils erneuerbarer Energien am Endenergieverbrauch des Gebäudes eine Bestätigung des ausführenden Fachunternehmers („Fachunternehmererklärung“) ausreichend; alternativ ist auch eine Bestätigung eines Experten der Energieeffizienz-Experten-Liste möglich, der mit der Bestätigung Kopien der die förderfähigen Kosten belegenden Rechnungen übersendet und die Höhe der förderfähigen Kosten, die Einhaltung der technischen Mindestanforderungen und die Verbesserung des energetischen Niveaus des Gebäudes bestätigt.</w:t>
      </w:r>
      <w:bookmarkStart w:id="149" w:name="_Hlk113020067"/>
      <w:bookmarkStart w:id="150" w:name="_Hlk113021004"/>
      <w:bookmarkStart w:id="151" w:name="_Hlk113348220"/>
    </w:p>
    <w:p w14:paraId="36EE4953" w14:textId="6320307A" w:rsidR="00FB2FEF" w:rsidRPr="00F41258" w:rsidRDefault="00FB2FEF" w:rsidP="00FB2FEF">
      <w:r w:rsidRPr="00F41258">
        <w:t xml:space="preserve">Für die Gewährung des Klima-Bonus nach </w:t>
      </w:r>
      <w:hyperlink w:anchor="_Heizungs-TauschKlima-Bonus" w:history="1">
        <w:r w:rsidRPr="00F41258">
          <w:rPr>
            <w:color w:val="0563C1" w:themeColor="hyperlink"/>
            <w:u w:val="single"/>
          </w:rPr>
          <w:t>Nummer 8.</w:t>
        </w:r>
        <w:r w:rsidR="0081284B" w:rsidRPr="00F41258">
          <w:rPr>
            <w:color w:val="0563C1" w:themeColor="hyperlink"/>
            <w:u w:val="single"/>
          </w:rPr>
          <w:t>4</w:t>
        </w:r>
        <w:r w:rsidRPr="00F41258">
          <w:rPr>
            <w:color w:val="0563C1" w:themeColor="hyperlink"/>
            <w:u w:val="single"/>
          </w:rPr>
          <w:t>.4</w:t>
        </w:r>
      </w:hyperlink>
      <w:r w:rsidRPr="00F41258">
        <w:t xml:space="preserve"> sind </w:t>
      </w:r>
      <w:r w:rsidR="0081284B" w:rsidRPr="00F41258">
        <w:t xml:space="preserve">zusätzlich </w:t>
      </w:r>
      <w:r w:rsidRPr="00F41258">
        <w:t>folgende Nachweise durch die bonusberechtigten selbstnutzenden Eigentümer zu erbringen:</w:t>
      </w:r>
    </w:p>
    <w:p w14:paraId="505B821E" w14:textId="6FF4213D" w:rsidR="00FB2FEF" w:rsidRPr="00F41258" w:rsidRDefault="00FB2FEF" w:rsidP="009B6F99">
      <w:pPr>
        <w:pStyle w:val="Listenabsatz"/>
        <w:numPr>
          <w:ilvl w:val="0"/>
          <w:numId w:val="40"/>
        </w:numPr>
      </w:pPr>
      <w:r w:rsidRPr="00F41258">
        <w:t>[erweiterte] Meldebescheinigung</w:t>
      </w:r>
      <w:r w:rsidR="00862A20" w:rsidRPr="00F41258">
        <w:t>/Meldebestätigung</w:t>
      </w:r>
      <w:r w:rsidRPr="00F41258">
        <w:t xml:space="preserve"> </w:t>
      </w:r>
      <w:r w:rsidR="0081284B" w:rsidRPr="00F41258">
        <w:t xml:space="preserve">nach </w:t>
      </w:r>
      <w:hyperlink w:anchor="_Begriffsbestimmungen" w:history="1">
        <w:r w:rsidR="0081284B" w:rsidRPr="00F41258">
          <w:rPr>
            <w:rStyle w:val="Hyperlink"/>
          </w:rPr>
          <w:t>Nummer 3</w:t>
        </w:r>
      </w:hyperlink>
      <w:r w:rsidR="0081284B" w:rsidRPr="00F41258">
        <w:t xml:space="preserve"> Buchstabe p</w:t>
      </w:r>
      <w:r w:rsidRPr="00F41258">
        <w:t xml:space="preserve">; </w:t>
      </w:r>
    </w:p>
    <w:p w14:paraId="619B9CB4" w14:textId="54F069FD" w:rsidR="00FB2FEF" w:rsidRPr="00F41258" w:rsidRDefault="00FB2FEF" w:rsidP="009B6F99">
      <w:pPr>
        <w:pStyle w:val="Listenabsatz"/>
        <w:numPr>
          <w:ilvl w:val="0"/>
          <w:numId w:val="40"/>
        </w:numPr>
      </w:pPr>
      <w:r w:rsidRPr="00F41258">
        <w:t xml:space="preserve">Grundbuchauszug </w:t>
      </w:r>
      <w:r w:rsidR="0081284B" w:rsidRPr="00F41258">
        <w:t xml:space="preserve">nach </w:t>
      </w:r>
      <w:hyperlink w:anchor="_Begriffsbestimmungen" w:history="1">
        <w:r w:rsidR="0081284B" w:rsidRPr="00F41258">
          <w:rPr>
            <w:rStyle w:val="Hyperlink"/>
          </w:rPr>
          <w:t>Nummer 3</w:t>
        </w:r>
      </w:hyperlink>
      <w:r w:rsidR="0081284B" w:rsidRPr="00F41258">
        <w:t xml:space="preserve"> Buchstabe p</w:t>
      </w:r>
      <w:r w:rsidRPr="00F41258">
        <w:t>.</w:t>
      </w:r>
    </w:p>
    <w:p w14:paraId="38F70C3C" w14:textId="54C54990" w:rsidR="00E7149C" w:rsidRPr="00F41258" w:rsidRDefault="00E7149C" w:rsidP="00583FF0">
      <w:r w:rsidRPr="00F41258">
        <w:t xml:space="preserve">Für die Gewährung des Einkommens-Bonus </w:t>
      </w:r>
      <w:r w:rsidR="00EF7691" w:rsidRPr="00F41258">
        <w:t xml:space="preserve">nach </w:t>
      </w:r>
      <w:hyperlink w:anchor="_Einkommens-Bonus" w:history="1">
        <w:r w:rsidR="00EF7691" w:rsidRPr="00F41258">
          <w:rPr>
            <w:rStyle w:val="Hyperlink"/>
          </w:rPr>
          <w:t>Nummer 8.</w:t>
        </w:r>
        <w:r w:rsidR="0081284B" w:rsidRPr="00F41258">
          <w:rPr>
            <w:rStyle w:val="Hyperlink"/>
          </w:rPr>
          <w:t>4</w:t>
        </w:r>
        <w:r w:rsidR="00EF7691" w:rsidRPr="00F41258">
          <w:rPr>
            <w:rStyle w:val="Hyperlink"/>
          </w:rPr>
          <w:t>.</w:t>
        </w:r>
        <w:r w:rsidR="0081284B" w:rsidRPr="00F41258">
          <w:rPr>
            <w:rStyle w:val="Hyperlink"/>
          </w:rPr>
          <w:t>5</w:t>
        </w:r>
      </w:hyperlink>
      <w:r w:rsidR="00EF7691" w:rsidRPr="00F41258">
        <w:t xml:space="preserve"> sind </w:t>
      </w:r>
      <w:r w:rsidR="0081284B" w:rsidRPr="00F41258">
        <w:t xml:space="preserve">zusätzlich </w:t>
      </w:r>
      <w:r w:rsidR="00EF7691" w:rsidRPr="00F41258">
        <w:t>folgende Nachweise durch die bonusberechtigten selbstnutzenden Eigentümer gesondert zu erbringen:</w:t>
      </w:r>
    </w:p>
    <w:p w14:paraId="4492762F" w14:textId="174B2F18" w:rsidR="00EF7691" w:rsidRPr="00F41258" w:rsidRDefault="00EF7691" w:rsidP="009B6F99">
      <w:pPr>
        <w:pStyle w:val="Listenabsatz"/>
        <w:numPr>
          <w:ilvl w:val="0"/>
          <w:numId w:val="40"/>
        </w:numPr>
      </w:pPr>
      <w:r w:rsidRPr="00F41258">
        <w:t>Einkommenssteuerbescheid</w:t>
      </w:r>
      <w:r w:rsidR="00643817" w:rsidRPr="00F41258">
        <w:t xml:space="preserve">e </w:t>
      </w:r>
      <w:r w:rsidR="00862A20" w:rsidRPr="00F41258">
        <w:t xml:space="preserve">für </w:t>
      </w:r>
      <w:proofErr w:type="gramStart"/>
      <w:r w:rsidR="00862A20" w:rsidRPr="00F41258">
        <w:t>das  zweite</w:t>
      </w:r>
      <w:proofErr w:type="gramEnd"/>
      <w:r w:rsidR="00862A20" w:rsidRPr="00F41258">
        <w:t xml:space="preserve"> und dritte Jahr vor Antragstellung </w:t>
      </w:r>
      <w:r w:rsidR="00643817" w:rsidRPr="00F41258">
        <w:t>aller Personen, die zum versteuerndem Haushaltsjahreseinkommen beitragen</w:t>
      </w:r>
      <w:r w:rsidRPr="00F41258">
        <w:t>;</w:t>
      </w:r>
      <w:r w:rsidR="00BC1A06" w:rsidRPr="00F41258">
        <w:t>;</w:t>
      </w:r>
    </w:p>
    <w:p w14:paraId="47216330" w14:textId="4B8F26CA" w:rsidR="00EF7691" w:rsidRPr="00F41258" w:rsidRDefault="005D389B" w:rsidP="009B6F99">
      <w:pPr>
        <w:pStyle w:val="Listenabsatz"/>
        <w:numPr>
          <w:ilvl w:val="0"/>
          <w:numId w:val="40"/>
        </w:numPr>
      </w:pPr>
      <w:r w:rsidRPr="00F41258">
        <w:t>[</w:t>
      </w:r>
      <w:r w:rsidR="00EF7691" w:rsidRPr="00F41258">
        <w:t>erweiterte</w:t>
      </w:r>
      <w:r w:rsidRPr="00F41258">
        <w:t>]</w:t>
      </w:r>
      <w:r w:rsidR="00EF7691" w:rsidRPr="00F41258">
        <w:t xml:space="preserve"> Meldebescheinigung </w:t>
      </w:r>
      <w:r w:rsidR="0081284B" w:rsidRPr="00F41258">
        <w:t xml:space="preserve">nach </w:t>
      </w:r>
      <w:hyperlink w:anchor="_Begriffsbestimmungen" w:history="1">
        <w:r w:rsidR="0081284B" w:rsidRPr="00F41258">
          <w:rPr>
            <w:rStyle w:val="Hyperlink"/>
          </w:rPr>
          <w:t>Nummer 3</w:t>
        </w:r>
      </w:hyperlink>
      <w:r w:rsidR="0081284B" w:rsidRPr="00F41258">
        <w:t xml:space="preserve"> Buchstabe p</w:t>
      </w:r>
      <w:r w:rsidR="00BC1A06" w:rsidRPr="00F41258">
        <w:t>;</w:t>
      </w:r>
      <w:r w:rsidR="00EF7691" w:rsidRPr="00F41258">
        <w:t xml:space="preserve"> </w:t>
      </w:r>
    </w:p>
    <w:p w14:paraId="7CC8B72F" w14:textId="48895BAE" w:rsidR="00EF7691" w:rsidRPr="00F41258" w:rsidRDefault="00EF7691" w:rsidP="009B6F99">
      <w:pPr>
        <w:pStyle w:val="Listenabsatz"/>
        <w:numPr>
          <w:ilvl w:val="0"/>
          <w:numId w:val="40"/>
        </w:numPr>
      </w:pPr>
      <w:r w:rsidRPr="00F41258">
        <w:t xml:space="preserve">Grundbuchauszug </w:t>
      </w:r>
      <w:r w:rsidR="0081284B" w:rsidRPr="00F41258">
        <w:t xml:space="preserve">nach </w:t>
      </w:r>
      <w:hyperlink w:anchor="_Begriffsbestimmungen" w:history="1">
        <w:r w:rsidR="0081284B" w:rsidRPr="00F41258">
          <w:rPr>
            <w:rStyle w:val="Hyperlink"/>
          </w:rPr>
          <w:t>Nummer 3</w:t>
        </w:r>
      </w:hyperlink>
      <w:r w:rsidR="0081284B" w:rsidRPr="00F41258">
        <w:t xml:space="preserve"> Buchstabe p</w:t>
      </w:r>
      <w:r w:rsidR="00BC1A06" w:rsidRPr="00F41258">
        <w:t>.</w:t>
      </w:r>
    </w:p>
    <w:p w14:paraId="08C98F68" w14:textId="77777777" w:rsidR="00232CB1" w:rsidRPr="00F41258" w:rsidRDefault="00232CB1" w:rsidP="00583FF0">
      <w:r w:rsidRPr="00F41258">
        <w:t xml:space="preserve">Der vollständige Verwendungsnachweis ist, nebst sämtlichen geforderten Nachweisen und Erklärungen, nach Abschluss der Maßnahme und spätestens vor Ablauf der im Zuwendungsbescheid genannten Vorlagefrist einzureichen. </w:t>
      </w:r>
      <w:r w:rsidR="00242C97" w:rsidRPr="00F41258">
        <w:t xml:space="preserve">Der </w:t>
      </w:r>
      <w:r w:rsidRPr="00F41258">
        <w:t xml:space="preserve">Durchführer </w:t>
      </w:r>
      <w:r w:rsidR="00242C97" w:rsidRPr="00F41258">
        <w:t xml:space="preserve">ist </w:t>
      </w:r>
      <w:r w:rsidRPr="00F41258">
        <w:t>berechtigt, bei Bedarf weitere Unterlagen bzw. Auskünfte zu verlangen und verpflichtende elektronische Formulare für notwendige Unterlagen bereitzustellen.</w:t>
      </w:r>
    </w:p>
    <w:p w14:paraId="593C3DE8" w14:textId="5C23EC80" w:rsidR="0028490D" w:rsidRPr="00F41258" w:rsidRDefault="00075EB4" w:rsidP="00583FF0">
      <w:bookmarkStart w:id="152" w:name="_Hlk115069557"/>
      <w:r w:rsidRPr="00F41258">
        <w:t xml:space="preserve">Rechnungen sind unbar zu begleichen und die entsprechenden Belege (zum Beispiel Kontoauszüge) als Zahlungsnachweise vom Antragsteller aufzubewahren bzw. </w:t>
      </w:r>
      <w:r w:rsidRPr="00F41258">
        <w:t xml:space="preserve">einzureichen. </w:t>
      </w:r>
      <w:r w:rsidR="001F2F1D" w:rsidRPr="00F41258">
        <w:t xml:space="preserve">Abweichend davon </w:t>
      </w:r>
      <w:r w:rsidR="00D16660" w:rsidRPr="00F41258">
        <w:t>werden auch</w:t>
      </w:r>
      <w:r w:rsidR="00BC1A06" w:rsidRPr="00F41258">
        <w:t xml:space="preserve"> Ratenzahlungsvereinbarung</w:t>
      </w:r>
      <w:r w:rsidR="00D16660" w:rsidRPr="00F41258">
        <w:t>en</w:t>
      </w:r>
      <w:r w:rsidR="00BC1A06" w:rsidRPr="00F41258">
        <w:t xml:space="preserve"> zwischen </w:t>
      </w:r>
      <w:r w:rsidR="001F2F1D" w:rsidRPr="00F41258">
        <w:t xml:space="preserve">dem </w:t>
      </w:r>
      <w:r w:rsidR="00BC1A06" w:rsidRPr="00F41258">
        <w:t xml:space="preserve">Antragsteller und </w:t>
      </w:r>
      <w:r w:rsidR="001F2F1D" w:rsidRPr="00F41258">
        <w:t xml:space="preserve">dem </w:t>
      </w:r>
      <w:r w:rsidR="00BC1A06" w:rsidRPr="00F41258">
        <w:t xml:space="preserve">ausführendem Unternehmen, die </w:t>
      </w:r>
      <w:r w:rsidR="00D418AE" w:rsidRPr="00F41258">
        <w:t xml:space="preserve">ausdrücklich </w:t>
      </w:r>
      <w:r w:rsidR="00BC1A06" w:rsidRPr="00F41258">
        <w:t>Bezug auf die</w:t>
      </w:r>
      <w:r w:rsidR="00D418AE" w:rsidRPr="00F41258">
        <w:t xml:space="preserve"> die förderfähigen Kosten ausweisende Rechnung nimmt und de</w:t>
      </w:r>
      <w:r w:rsidR="001F2F1D" w:rsidRPr="00F41258">
        <w:t>n</w:t>
      </w:r>
      <w:r w:rsidR="00D418AE" w:rsidRPr="00F41258">
        <w:t xml:space="preserve"> </w:t>
      </w:r>
      <w:r w:rsidR="00BC1A06" w:rsidRPr="00F41258">
        <w:t xml:space="preserve">Zahlungsnachweise für die bereits geleisteten Raten </w:t>
      </w:r>
      <w:r w:rsidR="001F2F1D" w:rsidRPr="00F41258">
        <w:t xml:space="preserve">(wobei </w:t>
      </w:r>
      <w:r w:rsidR="00271248" w:rsidRPr="00F41258">
        <w:t xml:space="preserve">mindestens eine Rate </w:t>
      </w:r>
      <w:r w:rsidR="001F2F1D" w:rsidRPr="00F41258">
        <w:t xml:space="preserve">geleistet sein </w:t>
      </w:r>
      <w:r w:rsidR="00271248" w:rsidRPr="00F41258">
        <w:t>muss</w:t>
      </w:r>
      <w:r w:rsidR="001F2F1D" w:rsidRPr="00F41258">
        <w:t>)</w:t>
      </w:r>
      <w:r w:rsidR="0038234A" w:rsidRPr="00F41258">
        <w:t>,</w:t>
      </w:r>
      <w:r w:rsidR="00271248" w:rsidRPr="00F41258">
        <w:t xml:space="preserve"> </w:t>
      </w:r>
      <w:r w:rsidR="00D16660" w:rsidRPr="00F41258">
        <w:t>akzeptiert</w:t>
      </w:r>
      <w:r w:rsidR="00BC1A06" w:rsidRPr="00F41258">
        <w:t>.</w:t>
      </w:r>
      <w:r w:rsidRPr="00F41258">
        <w:t xml:space="preserve"> Rechnungen müssen</w:t>
      </w:r>
      <w:r w:rsidR="00AD3D17" w:rsidRPr="00F41258">
        <w:t xml:space="preserve"> den Namen des Antragstellers,</w:t>
      </w:r>
      <w:r w:rsidRPr="00F41258">
        <w:t xml:space="preserve"> die förderfähigen Maßnahmen, die Arbeitsleistung</w:t>
      </w:r>
      <w:r w:rsidR="004E3BD7" w:rsidRPr="00F41258">
        <w:t>,</w:t>
      </w:r>
      <w:r w:rsidRPr="00F41258">
        <w:t xml:space="preserve"> </w:t>
      </w:r>
      <w:r w:rsidR="004E3BD7" w:rsidRPr="00F41258">
        <w:t xml:space="preserve">den Durchführungszeitraum </w:t>
      </w:r>
      <w:r w:rsidRPr="00F41258">
        <w:t xml:space="preserve">sowie die Adresse des Gebäudes ausweisen und in deutscher Sprache ausgefertigt sein. </w:t>
      </w:r>
      <w:r w:rsidR="00AD3D17" w:rsidRPr="00F41258">
        <w:t xml:space="preserve">Rechnungen nur über </w:t>
      </w:r>
      <w:r w:rsidR="00A51585" w:rsidRPr="00F41258">
        <w:t>Materialkosten</w:t>
      </w:r>
      <w:r w:rsidR="00AD3D17" w:rsidRPr="00F41258">
        <w:t>, beispielsweise</w:t>
      </w:r>
      <w:r w:rsidR="00A51585" w:rsidRPr="00F41258">
        <w:t xml:space="preserve"> bei Eigenleistungen</w:t>
      </w:r>
      <w:r w:rsidR="00AD3D17" w:rsidRPr="00F41258">
        <w:t>, müssen den Namen des Antragstellers ausweisen, in deutscher Sprache ausgefertigt sein und</w:t>
      </w:r>
      <w:r w:rsidR="00A51585" w:rsidRPr="00F41258">
        <w:t xml:space="preserve"> sind nur förderfähig, wenn auf der entsprechenden Rechnung ausschließlich förderfähige Posten enthalten sind</w:t>
      </w:r>
      <w:r w:rsidR="00E04F06" w:rsidRPr="00F41258">
        <w:t>.</w:t>
      </w:r>
    </w:p>
    <w:bookmarkEnd w:id="149"/>
    <w:bookmarkEnd w:id="150"/>
    <w:bookmarkEnd w:id="151"/>
    <w:bookmarkEnd w:id="152"/>
    <w:p w14:paraId="24343E34" w14:textId="7C53C0A1" w:rsidR="00232CB1" w:rsidRPr="00F41258" w:rsidRDefault="00232CB1" w:rsidP="00583FF0">
      <w:r w:rsidRPr="00F41258">
        <w:t xml:space="preserve">Näheres zu den Anforderungen an den Verwendungsnachweis, insbesondere zur Nachweisführung durch beizufügende Belege, regelt der nach </w:t>
      </w:r>
      <w:hyperlink w:anchor="_Zuständigkeit;_Informationen,_Merkb" w:history="1">
        <w:r w:rsidRPr="00F41258">
          <w:rPr>
            <w:rStyle w:val="Hyperlink"/>
          </w:rPr>
          <w:t>Nummer 9</w:t>
        </w:r>
        <w:r w:rsidR="00C53B29" w:rsidRPr="00F41258">
          <w:rPr>
            <w:rStyle w:val="Hyperlink"/>
          </w:rPr>
          <w:t>.1</w:t>
        </w:r>
      </w:hyperlink>
      <w:r w:rsidRPr="00F41258">
        <w:t xml:space="preserve"> zuständige Durchführer; dieser kann bei Bedarf weitere Unterlagen verlangen und verpflichtende elektronische Formulare für notwendige Unterlagen bzw. Erklärungen bereitstellen.</w:t>
      </w:r>
    </w:p>
    <w:p w14:paraId="60F00C7D" w14:textId="47990B88" w:rsidR="00423169" w:rsidRPr="00F41258" w:rsidRDefault="00423169" w:rsidP="00271248">
      <w:pPr>
        <w:pStyle w:val="berschrift3"/>
      </w:pPr>
      <w:bookmarkStart w:id="153" w:name="_Toc144908034"/>
      <w:r w:rsidRPr="00F41258">
        <w:t>Zuschussförderung</w:t>
      </w:r>
      <w:bookmarkEnd w:id="153"/>
    </w:p>
    <w:p w14:paraId="3D1F7AEA" w14:textId="46F9A31B" w:rsidR="00232CB1" w:rsidRPr="00F41258" w:rsidRDefault="00232CB1" w:rsidP="00583FF0">
      <w:r w:rsidRPr="00F41258">
        <w:t xml:space="preserve">Die Auszahlung des Zuschusses erfolgt nach positivem Abschluss der Prüfung des Verwendungsnachweises. </w:t>
      </w:r>
      <w:bookmarkStart w:id="154" w:name="_Hlk115352867"/>
      <w:r w:rsidRPr="00F41258">
        <w:t xml:space="preserve">Der Verwendungsnachweis einschließlich aller erforderlichen Unterlagen ist </w:t>
      </w:r>
      <w:r w:rsidR="00F07FA3" w:rsidRPr="00F41258">
        <w:t xml:space="preserve">innerhalb von </w:t>
      </w:r>
      <w:r w:rsidRPr="00F41258">
        <w:t xml:space="preserve">sechs Monaten nach </w:t>
      </w:r>
      <w:r w:rsidR="00F07FA3" w:rsidRPr="00F41258">
        <w:t>Erfüllung des Zuwendungszwecks</w:t>
      </w:r>
      <w:r w:rsidR="00D16660" w:rsidRPr="00F41258">
        <w:t xml:space="preserve"> </w:t>
      </w:r>
      <w:r w:rsidR="00D16660" w:rsidRPr="00F41258">
        <w:lastRenderedPageBreak/>
        <w:t>(Abschluss des Vorhabens)</w:t>
      </w:r>
      <w:r w:rsidR="00F07FA3" w:rsidRPr="00F41258">
        <w:t xml:space="preserve">, spätestens jedoch </w:t>
      </w:r>
      <w:bookmarkStart w:id="155" w:name="_Hlk144289389"/>
      <w:r w:rsidR="00F07FA3" w:rsidRPr="00F41258">
        <w:t xml:space="preserve">mit </w:t>
      </w:r>
      <w:r w:rsidRPr="00F41258">
        <w:t xml:space="preserve">Ablauf des </w:t>
      </w:r>
      <w:r w:rsidR="00F07FA3" w:rsidRPr="00F41258">
        <w:t>sechsten auf den Bewilligungszeitraum folgenden Monats</w:t>
      </w:r>
      <w:bookmarkEnd w:id="155"/>
      <w:r w:rsidR="00F07FA3" w:rsidRPr="00F41258">
        <w:t xml:space="preserve"> der Bewilligung</w:t>
      </w:r>
      <w:r w:rsidR="00D16660" w:rsidRPr="00F41258">
        <w:t xml:space="preserve"> (Zuwendungsbescheid bzw. Zusage)</w:t>
      </w:r>
      <w:r w:rsidRPr="00F41258">
        <w:t xml:space="preserve"> mittels der dafür vorgesehenen Formulare einschließlich aller erforderlichen Unterlagen </w:t>
      </w:r>
      <w:r w:rsidR="008024E1" w:rsidRPr="00F41258">
        <w:t>bei</w:t>
      </w:r>
      <w:r w:rsidR="00CF2397" w:rsidRPr="00F41258">
        <w:t>m Durchführer</w:t>
      </w:r>
      <w:r w:rsidR="008024E1" w:rsidRPr="00F41258">
        <w:t xml:space="preserve"> </w:t>
      </w:r>
      <w:r w:rsidRPr="00F41258">
        <w:t>einzureichen.</w:t>
      </w:r>
    </w:p>
    <w:bookmarkEnd w:id="154"/>
    <w:p w14:paraId="7BBB45EA" w14:textId="0166FBC1" w:rsidR="00232CB1" w:rsidRPr="00F41258" w:rsidRDefault="00232CB1" w:rsidP="00583FF0">
      <w:r w:rsidRPr="00F41258">
        <w:t>Wird der Verwendungsnachweis erst mehr als sechs Monate nach Ablauf der Bewilligungsfrist eingereicht, verliert der Antragsteller seinen Anspruch auf die Auszahlung des Investitionszuschusses.</w:t>
      </w:r>
    </w:p>
    <w:p w14:paraId="70737CF3" w14:textId="6CDDA31D" w:rsidR="00423169" w:rsidRPr="00F41258" w:rsidRDefault="00423169" w:rsidP="00423169">
      <w:pPr>
        <w:pStyle w:val="berschrift3"/>
      </w:pPr>
      <w:bookmarkStart w:id="156" w:name="_Toc144908035"/>
      <w:r w:rsidRPr="00F41258">
        <w:t>Kreditförderung</w:t>
      </w:r>
      <w:bookmarkEnd w:id="156"/>
    </w:p>
    <w:p w14:paraId="504FBC3F" w14:textId="2C4E8827" w:rsidR="00423169" w:rsidRPr="00F41258" w:rsidRDefault="00423169" w:rsidP="00423169">
      <w:r w:rsidRPr="00F41258">
        <w:t>Der Verwendungsnachweis einschließlich aller erforderlichen Unterlagen ist</w:t>
      </w:r>
      <w:r w:rsidR="0007104F" w:rsidRPr="00F41258">
        <w:t xml:space="preserve"> nach Auszahlung des </w:t>
      </w:r>
      <w:proofErr w:type="gramStart"/>
      <w:r w:rsidR="0007104F" w:rsidRPr="00F41258">
        <w:t xml:space="preserve">Investitionszuschusses </w:t>
      </w:r>
      <w:r w:rsidRPr="00F41258">
        <w:t xml:space="preserve"> </w:t>
      </w:r>
      <w:r w:rsidR="0007104F" w:rsidRPr="00F41258">
        <w:t>beim</w:t>
      </w:r>
      <w:proofErr w:type="gramEnd"/>
      <w:r w:rsidR="0007104F" w:rsidRPr="00F41258">
        <w:t xml:space="preserve"> </w:t>
      </w:r>
      <w:r w:rsidRPr="00F41258">
        <w:t xml:space="preserve">Kreditinstitut (Hausbank) einzureichen. Wird der Verwendungsnachweis </w:t>
      </w:r>
      <w:r w:rsidR="0007104F" w:rsidRPr="00F41258">
        <w:t>nicht</w:t>
      </w:r>
      <w:r w:rsidRPr="00F41258">
        <w:t xml:space="preserve"> eingereicht, verliert der Antragsteller grundsätzlich seinen Anspruch auf </w:t>
      </w:r>
      <w:r w:rsidR="0007104F" w:rsidRPr="00F41258">
        <w:t>Kreditförderung</w:t>
      </w:r>
      <w:r w:rsidRPr="00F41258">
        <w:t>.</w:t>
      </w:r>
      <w:r w:rsidR="0007104F" w:rsidRPr="00F41258">
        <w:t xml:space="preserve"> D</w:t>
      </w:r>
      <w:r w:rsidRPr="00F41258">
        <w:t xml:space="preserve">ies </w:t>
      </w:r>
      <w:r w:rsidR="0007104F" w:rsidRPr="00F41258">
        <w:t xml:space="preserve">führt </w:t>
      </w:r>
      <w:r w:rsidRPr="00F41258">
        <w:t>grundsätzlich zur Kündigung des Darlehens.</w:t>
      </w:r>
    </w:p>
    <w:p w14:paraId="2BA6907F" w14:textId="77777777" w:rsidR="0007104F" w:rsidRPr="00F41258" w:rsidRDefault="0007104F" w:rsidP="0007104F">
      <w:r w:rsidRPr="00F41258">
        <w:t xml:space="preserve">Wird der Zuschussbetrag für Maßnahmen nach 5.1 bis 5.5 (ggf. anteilig) über die Kreditförderung zwischenfinanziert, ist der Kredit in Höhe dieses Betrages nach Zuschussauszahlung vorzeitig abzulösen. </w:t>
      </w:r>
    </w:p>
    <w:p w14:paraId="6F080011" w14:textId="77777777" w:rsidR="0007104F" w:rsidRPr="00F41258" w:rsidRDefault="0007104F" w:rsidP="00423169"/>
    <w:p w14:paraId="10B6EC03" w14:textId="18357540" w:rsidR="00232CB1" w:rsidRPr="00F41258" w:rsidRDefault="00232CB1" w:rsidP="00583FF0">
      <w:pPr>
        <w:pStyle w:val="berschrift2"/>
      </w:pPr>
      <w:bookmarkStart w:id="157" w:name="_Toc112915706"/>
      <w:bookmarkStart w:id="158" w:name="_Toc144908036"/>
      <w:r w:rsidRPr="00F41258">
        <w:t>Subventionserheblichkeit</w:t>
      </w:r>
      <w:bookmarkEnd w:id="157"/>
      <w:bookmarkEnd w:id="158"/>
    </w:p>
    <w:p w14:paraId="5488DAEC" w14:textId="2F6DE523" w:rsidR="00232CB1" w:rsidRPr="00F41258" w:rsidRDefault="00232CB1" w:rsidP="00583FF0">
      <w:r w:rsidRPr="00F41258">
        <w:t xml:space="preserve">Die nach dieser </w:t>
      </w:r>
      <w:r w:rsidR="00941DEF" w:rsidRPr="00F41258">
        <w:t>Förderr</w:t>
      </w:r>
      <w:r w:rsidRPr="00F41258">
        <w:t>ichtlinie</w:t>
      </w:r>
      <w:r w:rsidRPr="00F41258">
        <w:t xml:space="preserve"> gewährte Förderung an Unternehmen sind Subventionen im Sinne des § 264 des Strafgesetzbuchs. Im Antragsverfahren wird der Antragsteller daher bereits vor der Antragstellung vom Durchführer auf die Strafbarkeit des Subventionsbetrugs und auf seine Mitteilungspflichten nach § 3 des Subventionsgesetzes hingewiesen, sowie vom Durchführer entsprechend Verwaltungsvorschrift Nummer 3.4.6 zu § 44 BHO, nach der im konkreten Fall subventionserhebliche Tatsachen in Form einer abschließenden Positivliste zu benennen sind, auf die im konkreten Fall subventionserheblichen Tatsachen hingewiesen.</w:t>
      </w:r>
    </w:p>
    <w:p w14:paraId="2143738B" w14:textId="55DFE4E7" w:rsidR="00232CB1" w:rsidRPr="00F41258" w:rsidRDefault="00232CB1" w:rsidP="00583FF0">
      <w:pPr>
        <w:pStyle w:val="berschrift2"/>
      </w:pPr>
      <w:bookmarkStart w:id="159" w:name="_Toc112915707"/>
      <w:bookmarkStart w:id="160" w:name="_Toc144908037"/>
      <w:r w:rsidRPr="00F41258">
        <w:t>Auskunfts- und Prüfungsrechte, Monitoring; Öffentlichkeitsarbeit</w:t>
      </w:r>
      <w:bookmarkEnd w:id="159"/>
      <w:bookmarkEnd w:id="160"/>
    </w:p>
    <w:p w14:paraId="33B44CE0" w14:textId="320DC1AC" w:rsidR="00232CB1" w:rsidRPr="00F41258" w:rsidRDefault="00232CB1" w:rsidP="00583FF0">
      <w:r w:rsidRPr="00F41258">
        <w:t xml:space="preserve">Den Beauftragten des </w:t>
      </w:r>
      <w:r w:rsidR="002056E7" w:rsidRPr="00F41258">
        <w:t>BMWK</w:t>
      </w:r>
      <w:r w:rsidRPr="00F41258">
        <w:t>, dem Bundesrechnungshof und den Prüforganen der Europäischen Union sind auf Verlangen erforderliche Auskünfte zu erteilen und Einsicht in Bücher und Unterlagen sowie Prüfungen zu gestatten. Der Bundesrechnungshof ist gemäß § 91 BHO zur Prüfung berechtigt.</w:t>
      </w:r>
    </w:p>
    <w:p w14:paraId="26F5FBC0" w14:textId="77777777" w:rsidR="00232CB1" w:rsidRPr="00F41258" w:rsidRDefault="00232CB1" w:rsidP="00583FF0">
      <w:r w:rsidRPr="00F41258">
        <w:t>Der Antragsteller muss sich im Antrag auf Förderung damit einverstanden erklären, dass</w:t>
      </w:r>
    </w:p>
    <w:p w14:paraId="45C7CE70" w14:textId="430E99ED" w:rsidR="00232CB1" w:rsidRPr="00F41258" w:rsidRDefault="00232CB1" w:rsidP="009B6F99">
      <w:pPr>
        <w:pStyle w:val="Listenabsatz"/>
        <w:numPr>
          <w:ilvl w:val="0"/>
          <w:numId w:val="15"/>
        </w:numPr>
      </w:pPr>
      <w:r w:rsidRPr="00F41258">
        <w:t xml:space="preserve">sämtliche mit dem Antrag oder im weiteren Verfahren eingereichten Unterlagen </w:t>
      </w:r>
      <w:r w:rsidR="00242C97" w:rsidRPr="00F41258">
        <w:t>dem Durchführer</w:t>
      </w:r>
      <w:r w:rsidRPr="00F41258">
        <w:t xml:space="preserve"> und dem </w:t>
      </w:r>
      <w:r w:rsidR="002056E7" w:rsidRPr="00F41258">
        <w:t>BMWK</w:t>
      </w:r>
      <w:r w:rsidRPr="00F41258">
        <w:t xml:space="preserve"> insbesondere auch zur Weitergabe an den Bundestag oder zu Veröffentlichungszwecken zur Verfügung stehen;</w:t>
      </w:r>
    </w:p>
    <w:p w14:paraId="1D4788CA" w14:textId="54CBB202" w:rsidR="00232CB1" w:rsidRPr="00F41258" w:rsidRDefault="00232CB1" w:rsidP="009B6F99">
      <w:pPr>
        <w:pStyle w:val="Listenabsatz"/>
        <w:numPr>
          <w:ilvl w:val="0"/>
          <w:numId w:val="15"/>
        </w:numPr>
      </w:pPr>
      <w:r w:rsidRPr="00F41258">
        <w:t xml:space="preserve">folgende Unterlagen bis zum Ablauf von zehn Jahren nach </w:t>
      </w:r>
      <w:r w:rsidR="00481235" w:rsidRPr="00F41258">
        <w:t>Kreditzusage bzw.</w:t>
      </w:r>
      <w:r w:rsidRPr="00F41258">
        <w:t xml:space="preserve"> nach </w:t>
      </w:r>
      <w:r w:rsidRPr="00F41258">
        <w:t xml:space="preserve">Bekanntgabe des Zuwendungsbescheids </w:t>
      </w:r>
      <w:r w:rsidR="00C342F1" w:rsidRPr="00F41258">
        <w:t xml:space="preserve">bzw. der Zuschusszusage </w:t>
      </w:r>
      <w:r w:rsidRPr="00F41258">
        <w:t>aufbewahrt und dem Durchführer innerhalb dieses Zeitraums auf Verlangen vorgelegt werden</w:t>
      </w:r>
      <w:r w:rsidR="00481235" w:rsidRPr="00F41258">
        <w:t xml:space="preserve"> (auch nach gegebenenfalls vollständiger Tilgung des Förderkredits)</w:t>
      </w:r>
      <w:r w:rsidRPr="00F41258">
        <w:t>:</w:t>
      </w:r>
    </w:p>
    <w:p w14:paraId="5C5768A6" w14:textId="3AEBDBAD" w:rsidR="00232CB1" w:rsidRPr="00F41258" w:rsidRDefault="00232CB1" w:rsidP="009B6F99">
      <w:pPr>
        <w:pStyle w:val="Listenabsatz"/>
        <w:numPr>
          <w:ilvl w:val="1"/>
          <w:numId w:val="30"/>
        </w:numPr>
      </w:pPr>
      <w:r w:rsidRPr="00F41258">
        <w:t xml:space="preserve">Unterlagen zur Dokumentation der vom Energieeffizienz-Experten erbrachten Leistungen (Planung und Baubegleitung) einschließlich </w:t>
      </w:r>
      <w:r w:rsidRPr="00F41258">
        <w:lastRenderedPageBreak/>
        <w:t>eventueller Unterlagen zur Dokumentation einer optionalen akustischen Fachplanung;</w:t>
      </w:r>
    </w:p>
    <w:p w14:paraId="20569C25" w14:textId="2578DE5B" w:rsidR="00232CB1" w:rsidRPr="00F41258" w:rsidRDefault="00232CB1" w:rsidP="009B6F99">
      <w:pPr>
        <w:pStyle w:val="Listenabsatz"/>
        <w:numPr>
          <w:ilvl w:val="1"/>
          <w:numId w:val="30"/>
        </w:numPr>
      </w:pPr>
      <w:r w:rsidRPr="00F41258">
        <w:t xml:space="preserve">sämtliche Nachweise, die in den technischen Mindestanforderungen zu dieser </w:t>
      </w:r>
      <w:r w:rsidR="00941DEF" w:rsidRPr="00F41258">
        <w:t>Förderr</w:t>
      </w:r>
      <w:r w:rsidRPr="00F41258">
        <w:t>ichtlinie</w:t>
      </w:r>
      <w:r w:rsidRPr="00F41258">
        <w:t xml:space="preserve"> für die jeweiligen geförderten Maßnahmen gelistet sind.</w:t>
      </w:r>
    </w:p>
    <w:p w14:paraId="35B10A3D" w14:textId="5CC7073A" w:rsidR="00232CB1" w:rsidRPr="00F41258" w:rsidRDefault="00232CB1" w:rsidP="009B6F99">
      <w:pPr>
        <w:pStyle w:val="Listenabsatz"/>
        <w:numPr>
          <w:ilvl w:val="1"/>
          <w:numId w:val="30"/>
        </w:numPr>
      </w:pPr>
      <w:r w:rsidRPr="00F41258">
        <w:t xml:space="preserve">bei der Sanierung von Baudenkmalen oder sonstiger besonders erhaltenswerter Bausubstanz: die für die baulichen Sanierungsmaßnahmen erforderlichen Abstimmungsnachweise und die Genehmigung der Denkmalschutzbehörde oder einer sonstigen zuständigen Behörde, </w:t>
      </w:r>
      <w:r w:rsidR="00AD224D" w:rsidRPr="00F41258">
        <w:t>z. B.</w:t>
      </w:r>
      <w:r w:rsidRPr="00F41258">
        <w:t xml:space="preserve"> Bauamt.</w:t>
      </w:r>
    </w:p>
    <w:p w14:paraId="63E294FC" w14:textId="45651AB8" w:rsidR="00232CB1" w:rsidRPr="00F41258" w:rsidRDefault="00232CB1" w:rsidP="009B6F99">
      <w:pPr>
        <w:pStyle w:val="Listenabsatz"/>
        <w:numPr>
          <w:ilvl w:val="0"/>
          <w:numId w:val="15"/>
        </w:numPr>
      </w:pPr>
      <w:r w:rsidRPr="00F41258">
        <w:t>dem Durchführer oder andere Beauftragte des Bundes innerhalb der Mindestnutzungsdauer von zehn Jahren der geförderten Maßnahme auf Anforderung ein Betretungsrecht für eine Vor-Ort-Kontrolle des geförderten Objekts gewährt wird, bzw. zur Qualitätssicherung die geförderten Maßnahmen im Rahmen einer Unterlagen- bzw. Vor-Ort-Kontrolle auf Grundlage eines qualifizierten Stichprobenkonzepts überprüft werden dürfen;</w:t>
      </w:r>
    </w:p>
    <w:p w14:paraId="30CEF4ED" w14:textId="5A6D2019" w:rsidR="004C469C" w:rsidRPr="00F41258" w:rsidRDefault="00232CB1" w:rsidP="009B6F99">
      <w:pPr>
        <w:pStyle w:val="Listenabsatz"/>
        <w:numPr>
          <w:ilvl w:val="0"/>
          <w:numId w:val="15"/>
        </w:numPr>
      </w:pPr>
      <w:r w:rsidRPr="00F41258">
        <w:t>er auf Nachfrage, insbesondere im Rahmen einer Evalu</w:t>
      </w:r>
      <w:r w:rsidR="00931273" w:rsidRPr="00F41258">
        <w:t>ation</w:t>
      </w:r>
      <w:r w:rsidRPr="00F41258">
        <w:t xml:space="preserve"> unter Beachtung datenschutzrechtlicher Regelungen, innerhalb der Mindestnutzungsdauer von zehn Jahren der geförderten Maßnahme weitergehende Auskünfte gibt und die Bereitschaft zur freiwilligen Nennung im Rahmen der Öffentlichkeitsarbeit erfragt werden darf; sowie</w:t>
      </w:r>
    </w:p>
    <w:p w14:paraId="067A64B0" w14:textId="27754BBB" w:rsidR="00232CB1" w:rsidRPr="00F41258" w:rsidRDefault="00232CB1" w:rsidP="009B6F99">
      <w:pPr>
        <w:pStyle w:val="Listenabsatz"/>
        <w:numPr>
          <w:ilvl w:val="0"/>
          <w:numId w:val="15"/>
        </w:numPr>
      </w:pPr>
      <w:r w:rsidRPr="00F41258">
        <w:t>die Daten seines Förderfalls, insbesondere Gegenstand, Ort und Höhe der erhaltenen Förderung, anonymisiert zu Zwecken der Evalu</w:t>
      </w:r>
      <w:r w:rsidR="00931273" w:rsidRPr="00F41258">
        <w:t>ation</w:t>
      </w:r>
      <w:r w:rsidRPr="00F41258">
        <w:t>, der parlamentarischen Berichterstattung und der Öffentlichkeitsarbeit verwendet werden können;</w:t>
      </w:r>
    </w:p>
    <w:p w14:paraId="20755EF3" w14:textId="2C65AB2D" w:rsidR="00232CB1" w:rsidRPr="00F41258" w:rsidRDefault="00232CB1" w:rsidP="009B6F99">
      <w:pPr>
        <w:pStyle w:val="Listenabsatz"/>
        <w:numPr>
          <w:ilvl w:val="0"/>
          <w:numId w:val="15"/>
        </w:numPr>
      </w:pPr>
      <w:r w:rsidRPr="00F41258">
        <w:t>für die Förderung auf Grundlage von § 44 BHO in Verbindung mit der Verwaltungsvorschrift Nummer 9.1 und 9.2 zu § 44 BHO bzw. der sinngemäßen Anwendung dieser Vorschriften Daten zu einzelnen Fördermaßnahmen in einem zentralen System des Bundes erfasst werden (Zuwendungsdatenbank);</w:t>
      </w:r>
    </w:p>
    <w:p w14:paraId="51C84DCB" w14:textId="5902A5B3" w:rsidR="00232CB1" w:rsidRPr="00F41258" w:rsidRDefault="00232CB1" w:rsidP="009B6F99">
      <w:pPr>
        <w:pStyle w:val="Listenabsatz"/>
        <w:numPr>
          <w:ilvl w:val="0"/>
          <w:numId w:val="15"/>
        </w:numPr>
      </w:pPr>
      <w:r w:rsidRPr="00F41258">
        <w:t xml:space="preserve">alle im Zusammenhang mit der Förderung bekannt gewordenen Daten und Nachweise von BAFA bzw. KfW und dem </w:t>
      </w:r>
      <w:r w:rsidR="002056E7" w:rsidRPr="00F41258">
        <w:t>BMWK</w:t>
      </w:r>
      <w:r w:rsidRPr="00F41258">
        <w:t xml:space="preserve"> oder einer von diesen beauftragten Stelle auf Datenträger gespeichert werden können. Darüber hinaus dürfen </w:t>
      </w:r>
      <w:r w:rsidR="00345875" w:rsidRPr="00F41258">
        <w:t xml:space="preserve">Daten und Nachweise </w:t>
      </w:r>
      <w:r w:rsidRPr="00F41258">
        <w:t>von ihnen</w:t>
      </w:r>
      <w:r w:rsidR="00CF20AE" w:rsidRPr="00F41258">
        <w:t>,</w:t>
      </w:r>
      <w:r w:rsidRPr="00F41258">
        <w:t xml:space="preserve"> in </w:t>
      </w:r>
      <w:r w:rsidR="00B13125" w:rsidRPr="00F41258">
        <w:t xml:space="preserve">deren </w:t>
      </w:r>
      <w:r w:rsidRPr="00F41258">
        <w:t>Auftrag</w:t>
      </w:r>
      <w:r w:rsidR="00CF20AE" w:rsidRPr="00F41258">
        <w:t xml:space="preserve"> oder nach </w:t>
      </w:r>
      <w:r w:rsidR="00B13125" w:rsidRPr="00F41258">
        <w:t>deren</w:t>
      </w:r>
      <w:r w:rsidR="00CF20AE" w:rsidRPr="00F41258">
        <w:t xml:space="preserve"> Zustimmung</w:t>
      </w:r>
      <w:r w:rsidRPr="00F41258">
        <w:t xml:space="preserve"> für Zwecke der Statistik, der Evalu</w:t>
      </w:r>
      <w:r w:rsidR="00931273" w:rsidRPr="00F41258">
        <w:t>ation</w:t>
      </w:r>
      <w:r w:rsidRPr="00F41258">
        <w:t xml:space="preserve"> und der Erfolgskontrolle für die Wirksamkeit des Förderprogramms </w:t>
      </w:r>
      <w:bookmarkStart w:id="161" w:name="_Hlk112861808"/>
      <w:r w:rsidRPr="00F41258">
        <w:t>sowie in anonymisierter Form für Zwecke der Öffentlichkeitsarbeit</w:t>
      </w:r>
      <w:r w:rsidR="00CF20AE" w:rsidRPr="00F41258">
        <w:t xml:space="preserve"> und des wissenschaftlichen Erkenntnisgewinns</w:t>
      </w:r>
      <w:r w:rsidRPr="00F41258">
        <w:t xml:space="preserve"> </w:t>
      </w:r>
      <w:bookmarkEnd w:id="161"/>
      <w:r w:rsidRPr="00F41258">
        <w:t>verwendet und ausgewertet werden</w:t>
      </w:r>
      <w:r w:rsidR="00E363D9" w:rsidRPr="00F41258">
        <w:t>.</w:t>
      </w:r>
      <w:r w:rsidRPr="00F41258">
        <w:t xml:space="preserve"> </w:t>
      </w:r>
      <w:r w:rsidR="00E363D9" w:rsidRPr="00F41258">
        <w:t>D</w:t>
      </w:r>
      <w:r w:rsidRPr="00F41258">
        <w:t>ie Erklärung beinhaltet ferner das Einverständnis mit der Veröffentlichung der Auswertungsergebnisse und deren Weiterleitung an den Deutschen Bundestag und an Einrichtungen des Bundes und der Europäischen Union;</w:t>
      </w:r>
    </w:p>
    <w:p w14:paraId="0C5D4375" w14:textId="51F511ED" w:rsidR="00232CB1" w:rsidRPr="00F41258" w:rsidRDefault="00232CB1" w:rsidP="009B6F99">
      <w:pPr>
        <w:pStyle w:val="Listenabsatz"/>
        <w:numPr>
          <w:ilvl w:val="0"/>
          <w:numId w:val="15"/>
        </w:numPr>
      </w:pPr>
      <w:proofErr w:type="gramStart"/>
      <w:r w:rsidRPr="00F41258">
        <w:t>das</w:t>
      </w:r>
      <w:proofErr w:type="gramEnd"/>
      <w:r w:rsidRPr="00F41258">
        <w:t xml:space="preserve"> </w:t>
      </w:r>
      <w:r w:rsidR="002056E7" w:rsidRPr="00F41258">
        <w:t>BMWK</w:t>
      </w:r>
      <w:r w:rsidRPr="00F41258">
        <w:t xml:space="preserve"> den Mitgliedern des Deutschen Bundestages im Einzelfall Informationen zur Förderung bekannt gibt.</w:t>
      </w:r>
    </w:p>
    <w:p w14:paraId="70F1A9C1" w14:textId="77777777" w:rsidR="00232CB1" w:rsidRPr="00F41258" w:rsidRDefault="00232CB1" w:rsidP="00583FF0">
      <w:r w:rsidRPr="00F41258">
        <w:t>Zur Qualitätssicherung werden die im Rahmen der Förderung errichteten Anlagen im Rahmen einer Unterlagen- bzw. Vor-Ort-Prüfung auf Grundlage eines qualifizierten Stichprobenkonzepts überprüft.</w:t>
      </w:r>
    </w:p>
    <w:p w14:paraId="020A518B" w14:textId="6FCBF8C3" w:rsidR="00232CB1" w:rsidRPr="00F41258" w:rsidRDefault="00232CB1" w:rsidP="00583FF0">
      <w:pPr>
        <w:pStyle w:val="berschrift1"/>
      </w:pPr>
      <w:bookmarkStart w:id="162" w:name="_Toc112915708"/>
      <w:bookmarkStart w:id="163" w:name="_Toc144908038"/>
      <w:r w:rsidRPr="00F41258">
        <w:lastRenderedPageBreak/>
        <w:t>Geltungsdauer</w:t>
      </w:r>
      <w:bookmarkEnd w:id="162"/>
      <w:bookmarkEnd w:id="163"/>
    </w:p>
    <w:p w14:paraId="7E2F44A6" w14:textId="032E726C" w:rsidR="00AD4CCE" w:rsidRPr="00F41258" w:rsidRDefault="00232CB1" w:rsidP="00583FF0">
      <w:bookmarkStart w:id="164" w:name="_Hlk82420519"/>
      <w:r w:rsidRPr="00F41258">
        <w:t xml:space="preserve">Diese </w:t>
      </w:r>
      <w:r w:rsidR="00941DEF" w:rsidRPr="00F41258">
        <w:t>Förderr</w:t>
      </w:r>
      <w:r w:rsidRPr="00F41258">
        <w:t xml:space="preserve">ichtlinie </w:t>
      </w:r>
      <w:r w:rsidRPr="00F41258">
        <w:t xml:space="preserve">tritt am 1. </w:t>
      </w:r>
      <w:r w:rsidR="00DF1168" w:rsidRPr="00F41258">
        <w:t>Januar</w:t>
      </w:r>
      <w:r w:rsidRPr="00F41258">
        <w:t xml:space="preserve"> </w:t>
      </w:r>
      <w:r w:rsidR="007821B7" w:rsidRPr="00F41258">
        <w:t>2024</w:t>
      </w:r>
      <w:r w:rsidRPr="00F41258">
        <w:t xml:space="preserve"> in Kraft und endet mit Ablauf des 31. Dezember </w:t>
      </w:r>
      <w:r w:rsidRPr="00F41258">
        <w:t>20</w:t>
      </w:r>
      <w:r w:rsidR="00024FD4" w:rsidRPr="00F41258">
        <w:t>4</w:t>
      </w:r>
      <w:r w:rsidRPr="00F41258">
        <w:t>0.</w:t>
      </w:r>
      <w:r w:rsidRPr="00F41258">
        <w:t xml:space="preserve"> Sie ersetzt </w:t>
      </w:r>
      <w:r w:rsidR="00AD4CCE" w:rsidRPr="00F41258">
        <w:t xml:space="preserve">die Richtlinie für die Bundesförderung für effiziente Gebäude – Einzelmaßnahmen </w:t>
      </w:r>
      <w:r w:rsidR="00AD4CCE" w:rsidRPr="00F41258">
        <w:rPr>
          <w:rFonts w:eastAsia="Times New Roman"/>
          <w:color w:val="000000"/>
        </w:rPr>
        <w:t xml:space="preserve">in der Fassung </w:t>
      </w:r>
      <w:r w:rsidR="00AD4CCE" w:rsidRPr="00F41258">
        <w:t>vom</w:t>
      </w:r>
      <w:r w:rsidR="00AD4CCE" w:rsidRPr="00F41258" w:rsidDel="00B65B35">
        <w:t xml:space="preserve"> </w:t>
      </w:r>
      <w:r w:rsidR="00AD4CCE" w:rsidRPr="00F41258">
        <w:t xml:space="preserve">16. September 2021 (BAnz AT 18.10.2021 B2), </w:t>
      </w:r>
      <w:r w:rsidR="00E87DBF" w:rsidRPr="00F41258">
        <w:t xml:space="preserve">die </w:t>
      </w:r>
      <w:r w:rsidR="00AD4CCE" w:rsidRPr="00F41258">
        <w:t xml:space="preserve">zuletzt durch die </w:t>
      </w:r>
      <w:r w:rsidR="00E87DBF" w:rsidRPr="00F41258">
        <w:t>B</w:t>
      </w:r>
      <w:r w:rsidR="00AD4CCE" w:rsidRPr="00F41258">
        <w:t xml:space="preserve">ekanntmachung vom </w:t>
      </w:r>
      <w:r w:rsidR="007821B7" w:rsidRPr="00F41258">
        <w:t>9. Dezember</w:t>
      </w:r>
      <w:r w:rsidR="00AD4CCE" w:rsidRPr="00F41258">
        <w:t xml:space="preserve"> 2022 (BAnz AT </w:t>
      </w:r>
      <w:r w:rsidR="007821B7" w:rsidRPr="00F41258">
        <w:t>30.12</w:t>
      </w:r>
      <w:r w:rsidR="00AD4CCE" w:rsidRPr="00F41258">
        <w:t>.2022 B1)</w:t>
      </w:r>
      <w:r w:rsidR="00E87DBF" w:rsidRPr="00F41258">
        <w:t xml:space="preserve"> geändert worden ist</w:t>
      </w:r>
      <w:r w:rsidR="00E87DBF" w:rsidRPr="00F41258">
        <w:t>.</w:t>
      </w:r>
    </w:p>
    <w:bookmarkEnd w:id="164"/>
    <w:p w14:paraId="193F2FE4" w14:textId="40A4BFB5" w:rsidR="00232CB1" w:rsidRPr="00F41258" w:rsidRDefault="00232CB1" w:rsidP="00583FF0">
      <w:r w:rsidRPr="00F41258">
        <w:t xml:space="preserve">Für Förderanträge, die vor Inkrafttreten dieser </w:t>
      </w:r>
      <w:r w:rsidR="00941DEF" w:rsidRPr="00F41258">
        <w:t>Förderr</w:t>
      </w:r>
      <w:r w:rsidRPr="00F41258">
        <w:t>ichtlinie</w:t>
      </w:r>
      <w:r w:rsidRPr="00F41258">
        <w:t xml:space="preserve"> gestellt wurden, gilt die letzte Fassung der ersetzten </w:t>
      </w:r>
      <w:r w:rsidR="00941DEF" w:rsidRPr="00F41258">
        <w:t>Förderr</w:t>
      </w:r>
      <w:r w:rsidRPr="00F41258">
        <w:t>ichtlinie</w:t>
      </w:r>
      <w:r w:rsidRPr="00F41258">
        <w:t xml:space="preserve">, auch wenn die Entscheidung über den Antrag erst nach Inkrafttreten dieser </w:t>
      </w:r>
      <w:r w:rsidR="00941DEF" w:rsidRPr="00F41258">
        <w:t>Förderr</w:t>
      </w:r>
      <w:r w:rsidRPr="00F41258">
        <w:t>ichtlinie</w:t>
      </w:r>
      <w:r w:rsidRPr="00F41258">
        <w:t xml:space="preserve"> erfolgt.</w:t>
      </w:r>
    </w:p>
    <w:p w14:paraId="7F37B15A" w14:textId="77777777" w:rsidR="00063186" w:rsidRPr="00F41258" w:rsidRDefault="00063186" w:rsidP="00583FF0"/>
    <w:p w14:paraId="281CF594" w14:textId="4F6C1EBF" w:rsidR="00232CB1" w:rsidRPr="00F41258" w:rsidRDefault="00232CB1" w:rsidP="00583FF0">
      <w:r w:rsidRPr="00F41258">
        <w:t xml:space="preserve">Berlin, den </w:t>
      </w:r>
      <w:r w:rsidR="00A0189A" w:rsidRPr="00F41258">
        <w:t>XX</w:t>
      </w:r>
      <w:r w:rsidRPr="00F41258">
        <w:t xml:space="preserve">. </w:t>
      </w:r>
      <w:r w:rsidR="005769CE" w:rsidRPr="00F41258">
        <w:t>Oktober</w:t>
      </w:r>
      <w:r w:rsidRPr="00F41258">
        <w:t xml:space="preserve"> 202</w:t>
      </w:r>
      <w:r w:rsidR="007821B7" w:rsidRPr="00F41258">
        <w:t>3</w:t>
      </w:r>
    </w:p>
    <w:p w14:paraId="7A05E7A2" w14:textId="77777777" w:rsidR="00232CB1" w:rsidRPr="00F41258" w:rsidRDefault="00232CB1" w:rsidP="00583FF0">
      <w:pPr>
        <w:jc w:val="center"/>
      </w:pPr>
      <w:r w:rsidRPr="00F41258">
        <w:t>Bundesministerium</w:t>
      </w:r>
    </w:p>
    <w:p w14:paraId="4F942CE2" w14:textId="1217C6A6" w:rsidR="00232CB1" w:rsidRPr="00F41258" w:rsidRDefault="00232CB1" w:rsidP="00583FF0">
      <w:pPr>
        <w:jc w:val="center"/>
      </w:pPr>
      <w:r w:rsidRPr="00F41258">
        <w:t xml:space="preserve">für Wirtschaft und </w:t>
      </w:r>
      <w:r w:rsidR="00C112F2" w:rsidRPr="00F41258">
        <w:t>Klimaschutz</w:t>
      </w:r>
    </w:p>
    <w:p w14:paraId="378F3DE8" w14:textId="77777777" w:rsidR="00082886" w:rsidRPr="00F41258" w:rsidRDefault="00232CB1" w:rsidP="00E04F06">
      <w:pPr>
        <w:jc w:val="center"/>
      </w:pPr>
      <w:r w:rsidRPr="00F41258">
        <w:t xml:space="preserve">Im Auftrag </w:t>
      </w:r>
      <w:r w:rsidRPr="00F41258">
        <w:br/>
      </w:r>
      <w:r w:rsidR="00C112F2" w:rsidRPr="00F41258">
        <w:t>Christian Maaß</w:t>
      </w:r>
    </w:p>
    <w:p w14:paraId="1FA16527" w14:textId="0A6425D6" w:rsidR="00232CB1" w:rsidRPr="00F41258" w:rsidRDefault="00082886" w:rsidP="00EB6174">
      <w:pPr>
        <w:tabs>
          <w:tab w:val="left" w:pos="5265"/>
        </w:tabs>
        <w:sectPr w:rsidR="00232CB1" w:rsidRPr="00F41258" w:rsidSect="003E78AC">
          <w:pgSz w:w="10522" w:h="14832"/>
          <w:pgMar w:top="720" w:right="720" w:bottom="720" w:left="720" w:header="283" w:footer="283" w:gutter="0"/>
          <w:cols w:space="720"/>
          <w:docGrid w:linePitch="360"/>
        </w:sectPr>
      </w:pPr>
      <w:r w:rsidRPr="00F41258">
        <w:tab/>
      </w:r>
    </w:p>
    <w:p w14:paraId="0E737914" w14:textId="7F13414E" w:rsidR="00232CB1" w:rsidRPr="00F41258" w:rsidRDefault="00232CB1" w:rsidP="00EB6174">
      <w:pPr>
        <w:pStyle w:val="berschrift1"/>
        <w:numPr>
          <w:ilvl w:val="0"/>
          <w:numId w:val="0"/>
        </w:numPr>
        <w:ind w:left="432"/>
        <w:jc w:val="center"/>
      </w:pPr>
      <w:bookmarkStart w:id="165" w:name="_Toc144908039"/>
      <w:r w:rsidRPr="00F41258">
        <w:rPr>
          <w:b w:val="0"/>
        </w:rPr>
        <w:lastRenderedPageBreak/>
        <w:t>Anlage</w:t>
      </w:r>
      <w:r w:rsidR="0006735A" w:rsidRPr="00F41258">
        <w:br/>
      </w:r>
      <w:r w:rsidR="0006735A" w:rsidRPr="00F41258">
        <w:br/>
      </w:r>
      <w:r w:rsidRPr="00F41258">
        <w:t>Technische Mindestanforderungen</w:t>
      </w:r>
      <w:r w:rsidR="00F17499" w:rsidRPr="00F41258">
        <w:t xml:space="preserve"> (TMA)</w:t>
      </w:r>
      <w:bookmarkEnd w:id="165"/>
    </w:p>
    <w:p w14:paraId="7EF8B274" w14:textId="008973ED" w:rsidR="00232CB1" w:rsidRPr="00F41258" w:rsidRDefault="00232CB1" w:rsidP="00583FF0">
      <w:pPr>
        <w:jc w:val="center"/>
        <w:rPr>
          <w:b/>
        </w:rPr>
      </w:pPr>
      <w:r w:rsidRPr="00F41258">
        <w:rPr>
          <w:b/>
        </w:rPr>
        <w:t xml:space="preserve">zum </w:t>
      </w:r>
      <w:r w:rsidR="00103EB3" w:rsidRPr="00F41258">
        <w:rPr>
          <w:b/>
        </w:rPr>
        <w:t>Förderp</w:t>
      </w:r>
      <w:r w:rsidRPr="00F41258">
        <w:rPr>
          <w:b/>
        </w:rPr>
        <w:t>rogramm</w:t>
      </w:r>
      <w:r w:rsidRPr="00F41258">
        <w:rPr>
          <w:b/>
        </w:rPr>
        <w:t xml:space="preserve"> Bundesförderung für effiziente Gebäude</w:t>
      </w:r>
    </w:p>
    <w:p w14:paraId="25E30334" w14:textId="77777777" w:rsidR="00232CB1" w:rsidRPr="00F41258" w:rsidRDefault="00232CB1" w:rsidP="00583FF0">
      <w:pPr>
        <w:jc w:val="center"/>
        <w:rPr>
          <w:b/>
        </w:rPr>
      </w:pPr>
      <w:r w:rsidRPr="00F41258">
        <w:rPr>
          <w:b/>
        </w:rPr>
        <w:t>– Einzelmaßnahmen</w:t>
      </w:r>
    </w:p>
    <w:p w14:paraId="10FEAD7F" w14:textId="77777777" w:rsidR="00232CB1" w:rsidRPr="00F41258" w:rsidRDefault="00232CB1" w:rsidP="00583FF0">
      <w:pPr>
        <w:jc w:val="center"/>
      </w:pPr>
      <w:r w:rsidRPr="00F41258">
        <w:t>Regelungen gelten für Wohngebäude (WG) und Nichtwohngebäude (NWG), falls keine explizite Unterscheidung getroffen wird.</w:t>
      </w:r>
    </w:p>
    <w:p w14:paraId="15529F2E" w14:textId="7D4A3C07" w:rsidR="00232CB1" w:rsidRPr="00F41258" w:rsidRDefault="00232CB1" w:rsidP="009B6F99">
      <w:pPr>
        <w:pStyle w:val="berschrift1"/>
        <w:numPr>
          <w:ilvl w:val="0"/>
          <w:numId w:val="39"/>
        </w:numPr>
      </w:pPr>
      <w:bookmarkStart w:id="166" w:name="_Toc112915709"/>
      <w:bookmarkStart w:id="167" w:name="_Toc144908040"/>
      <w:r w:rsidRPr="00F41258">
        <w:t>Einzelmaßnahmen an der Gebäudehülle</w:t>
      </w:r>
      <w:bookmarkEnd w:id="166"/>
      <w:bookmarkEnd w:id="167"/>
    </w:p>
    <w:p w14:paraId="1DB16A79" w14:textId="20BD3FE7" w:rsidR="00232CB1" w:rsidRPr="00F41258" w:rsidRDefault="00232CB1" w:rsidP="00583FF0">
      <w:pPr>
        <w:pStyle w:val="berschrift2"/>
      </w:pPr>
      <w:bookmarkStart w:id="168" w:name="_Toc112915710"/>
      <w:bookmarkStart w:id="169" w:name="_Toc144908041"/>
      <w:r w:rsidRPr="00F41258">
        <w:t>Dämmung der Gebäudehülle, Sanierung von Fenstern, Türen und Vorhangfassaden</w:t>
      </w:r>
      <w:bookmarkEnd w:id="168"/>
      <w:bookmarkEnd w:id="169"/>
    </w:p>
    <w:p w14:paraId="3A4E77BA" w14:textId="77777777" w:rsidR="00232CB1" w:rsidRPr="00F41258" w:rsidRDefault="00232CB1" w:rsidP="00583FF0">
      <w:r w:rsidRPr="00F41258">
        <w:t xml:space="preserve">Bei Sanierungsmaßnahmen – insbesondere an der wärmeübertragenden Gebäudehülle – ist stets zu prüfen, ob Maßnahmen zum Feuchteschutz, insb. zur Vermeidung von Tauwasserausfall und Schimmelpilzbildung durch Einhaltung des Mindestluftwechsels und des Mindestwärmeschutzes in Zusammenhang mit der Sanierungsmaßnahme erforderlich sind. </w:t>
      </w:r>
    </w:p>
    <w:p w14:paraId="6F53F741" w14:textId="77777777" w:rsidR="00232CB1" w:rsidRPr="00F41258" w:rsidRDefault="00232CB1" w:rsidP="00583FF0">
      <w:r w:rsidRPr="00F41258">
        <w:t>Bei Wohn- und Nichtwohngebäuden ist bei allen Maßnahmen auf eine wärmebrückenreduzierte und luftdichte Ausführung zu achten. Folgende Anforderungen an die Wärmedurchgangskoeffizienten (U-Werte) sind bei dem jeweiligen Bauteile für eine Förderung als Einzelmaßnahme einzuhalten. Die Anforderungen beziehen sich nur auf die wärmeübertragenden Umfassungsflächen.</w:t>
      </w:r>
    </w:p>
    <w:p w14:paraId="03416CE8" w14:textId="77777777" w:rsidR="00232CB1" w:rsidRPr="00F41258" w:rsidRDefault="00232CB1" w:rsidP="00583FF0"/>
    <w:tbl>
      <w:tblPr>
        <w:tblW w:w="5000" w:type="pct"/>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445"/>
        <w:gridCol w:w="2442"/>
        <w:gridCol w:w="2185"/>
      </w:tblGrid>
      <w:tr w:rsidR="00232CB1" w:rsidRPr="00F41258" w14:paraId="60B52685" w14:textId="77777777" w:rsidTr="00380B36">
        <w:trPr>
          <w:trHeight w:val="699"/>
          <w:tblHeader/>
        </w:trPr>
        <w:tc>
          <w:tcPr>
            <w:tcW w:w="2450" w:type="pct"/>
            <w:vMerge w:val="restart"/>
            <w:tcBorders>
              <w:top w:val="single" w:sz="4" w:space="0" w:color="auto"/>
            </w:tcBorders>
            <w:shd w:val="clear" w:color="auto" w:fill="auto"/>
            <w:vAlign w:val="center"/>
          </w:tcPr>
          <w:p w14:paraId="7FFBB028" w14:textId="77777777" w:rsidR="00232CB1" w:rsidRPr="00F41258" w:rsidRDefault="00232CB1" w:rsidP="00583FF0">
            <w:r w:rsidRPr="00F41258">
              <w:t>Erneuerung, Ersatz oder erstmaliger Einbau von Bauteilen der thermischen Gebäudehülle</w:t>
            </w:r>
          </w:p>
        </w:tc>
        <w:tc>
          <w:tcPr>
            <w:tcW w:w="2550" w:type="pct"/>
            <w:gridSpan w:val="2"/>
            <w:tcBorders>
              <w:top w:val="single" w:sz="4" w:space="0" w:color="auto"/>
            </w:tcBorders>
            <w:shd w:val="clear" w:color="auto" w:fill="auto"/>
            <w:noWrap/>
          </w:tcPr>
          <w:p w14:paraId="75A1F15B" w14:textId="77777777" w:rsidR="00232CB1" w:rsidRPr="00F41258" w:rsidRDefault="00232CB1" w:rsidP="003E78AC">
            <w:pPr>
              <w:pStyle w:val="FlietextKfW"/>
              <w:spacing w:line="276" w:lineRule="auto"/>
              <w:jc w:val="center"/>
              <w:rPr>
                <w:rFonts w:cs="Arial"/>
                <w:color w:val="auto"/>
                <w:sz w:val="22"/>
              </w:rPr>
            </w:pPr>
            <w:r w:rsidRPr="00F41258">
              <w:rPr>
                <w:rFonts w:cs="Arial"/>
                <w:color w:val="auto"/>
                <w:sz w:val="22"/>
              </w:rPr>
              <w:t xml:space="preserve">Höchstwerte der Wärmedurchgangskoeffizienten </w:t>
            </w:r>
            <w:proofErr w:type="spellStart"/>
            <w:r w:rsidRPr="00F41258">
              <w:rPr>
                <w:rFonts w:cs="Arial"/>
                <w:color w:val="auto"/>
                <w:sz w:val="22"/>
              </w:rPr>
              <w:t>U</w:t>
            </w:r>
            <w:r w:rsidRPr="00F41258">
              <w:rPr>
                <w:rFonts w:cs="Arial"/>
                <w:color w:val="auto"/>
                <w:sz w:val="22"/>
                <w:vertAlign w:val="subscript"/>
              </w:rPr>
              <w:t>max</w:t>
            </w:r>
            <w:proofErr w:type="spellEnd"/>
            <w:r w:rsidRPr="00F41258">
              <w:rPr>
                <w:rFonts w:cs="Arial"/>
                <w:color w:val="auto"/>
                <w:sz w:val="22"/>
              </w:rPr>
              <w:t xml:space="preserve"> in W/(m</w:t>
            </w:r>
            <w:r w:rsidRPr="00F41258">
              <w:rPr>
                <w:rFonts w:cs="Arial"/>
                <w:color w:val="auto"/>
                <w:sz w:val="22"/>
                <w:vertAlign w:val="superscript"/>
              </w:rPr>
              <w:t>2</w:t>
            </w:r>
            <w:r w:rsidRPr="00F41258">
              <w:rPr>
                <w:rFonts w:cs="Arial"/>
                <w:color w:val="auto"/>
                <w:sz w:val="22"/>
              </w:rPr>
              <w:t>K) bzw. der max. Wärmeleitfähigkeit λ in W/(</w:t>
            </w:r>
            <w:proofErr w:type="spellStart"/>
            <w:r w:rsidRPr="00F41258">
              <w:rPr>
                <w:rFonts w:cs="Arial"/>
                <w:color w:val="auto"/>
                <w:sz w:val="22"/>
              </w:rPr>
              <w:t>mK</w:t>
            </w:r>
            <w:proofErr w:type="spellEnd"/>
            <w:r w:rsidRPr="00F41258">
              <w:rPr>
                <w:rFonts w:cs="Arial"/>
                <w:color w:val="auto"/>
                <w:sz w:val="22"/>
              </w:rPr>
              <w:t>)</w:t>
            </w:r>
          </w:p>
        </w:tc>
      </w:tr>
      <w:tr w:rsidR="00232CB1" w:rsidRPr="00F41258" w14:paraId="122A9CA2" w14:textId="77777777" w:rsidTr="00380B36">
        <w:trPr>
          <w:trHeight w:val="560"/>
          <w:tblHeader/>
        </w:trPr>
        <w:tc>
          <w:tcPr>
            <w:tcW w:w="2450" w:type="pct"/>
            <w:vMerge/>
            <w:tcBorders>
              <w:bottom w:val="single" w:sz="4" w:space="0" w:color="auto"/>
            </w:tcBorders>
            <w:shd w:val="clear" w:color="auto" w:fill="auto"/>
            <w:vAlign w:val="center"/>
          </w:tcPr>
          <w:p w14:paraId="20939CE7" w14:textId="77777777" w:rsidR="00232CB1" w:rsidRPr="00F41258" w:rsidRDefault="00232CB1" w:rsidP="00583FF0"/>
        </w:tc>
        <w:tc>
          <w:tcPr>
            <w:tcW w:w="1346" w:type="pct"/>
            <w:tcBorders>
              <w:top w:val="single" w:sz="4" w:space="0" w:color="auto"/>
              <w:bottom w:val="single" w:sz="4" w:space="0" w:color="auto"/>
            </w:tcBorders>
            <w:shd w:val="clear" w:color="auto" w:fill="auto"/>
            <w:noWrap/>
            <w:vAlign w:val="center"/>
          </w:tcPr>
          <w:p w14:paraId="59F70290" w14:textId="77777777" w:rsidR="00232CB1" w:rsidRPr="00F41258" w:rsidRDefault="00232CB1" w:rsidP="00583FF0">
            <w:r w:rsidRPr="00F41258">
              <w:t>Wohngebäude und Zonen von Nichtwohngebäuden T ≥ 19°C</w:t>
            </w:r>
          </w:p>
        </w:tc>
        <w:tc>
          <w:tcPr>
            <w:tcW w:w="1204" w:type="pct"/>
            <w:tcBorders>
              <w:top w:val="single" w:sz="4" w:space="0" w:color="auto"/>
              <w:bottom w:val="single" w:sz="4" w:space="0" w:color="auto"/>
            </w:tcBorders>
            <w:shd w:val="clear" w:color="auto" w:fill="auto"/>
            <w:noWrap/>
            <w:vAlign w:val="center"/>
          </w:tcPr>
          <w:p w14:paraId="742A3470" w14:textId="77777777" w:rsidR="00232CB1" w:rsidRPr="00F41258" w:rsidRDefault="00232CB1" w:rsidP="00583FF0">
            <w:r w:rsidRPr="00F41258">
              <w:t>Zonen von Nichtwohngebäuden mit 12°C &lt; T &lt; 19°C</w:t>
            </w:r>
          </w:p>
        </w:tc>
      </w:tr>
      <w:tr w:rsidR="00232CB1" w:rsidRPr="00F41258" w14:paraId="136C9D5C" w14:textId="77777777" w:rsidTr="00EB6174">
        <w:trPr>
          <w:trHeight w:val="521"/>
        </w:trPr>
        <w:tc>
          <w:tcPr>
            <w:tcW w:w="5000" w:type="pct"/>
            <w:gridSpan w:val="3"/>
            <w:tcBorders>
              <w:top w:val="single" w:sz="4" w:space="0" w:color="auto"/>
              <w:left w:val="none" w:sz="4" w:space="0" w:color="000000" w:themeColor="text1"/>
              <w:bottom w:val="single" w:sz="4" w:space="0" w:color="auto"/>
              <w:right w:val="none" w:sz="4" w:space="0" w:color="000000" w:themeColor="text1"/>
            </w:tcBorders>
            <w:shd w:val="clear" w:color="auto" w:fill="auto"/>
          </w:tcPr>
          <w:p w14:paraId="07C7B4B8" w14:textId="77777777" w:rsidR="00232CB1" w:rsidRPr="00F41258" w:rsidRDefault="00232CB1" w:rsidP="00583FF0">
            <w:r w:rsidRPr="00F41258">
              <w:t>Bauteilgruppe:</w:t>
            </w:r>
            <w:r w:rsidRPr="00F41258">
              <w:br/>
              <w:t>Außenwände</w:t>
            </w:r>
          </w:p>
        </w:tc>
      </w:tr>
      <w:tr w:rsidR="00232CB1" w:rsidRPr="00F41258" w14:paraId="5D20CEE1" w14:textId="77777777" w:rsidTr="00380B36">
        <w:trPr>
          <w:trHeight w:val="20"/>
        </w:trPr>
        <w:tc>
          <w:tcPr>
            <w:tcW w:w="2450" w:type="pct"/>
            <w:tcBorders>
              <w:top w:val="single" w:sz="4" w:space="0" w:color="auto"/>
            </w:tcBorders>
            <w:shd w:val="clear" w:color="auto" w:fill="FFFFFF" w:themeFill="background1"/>
            <w:vAlign w:val="center"/>
          </w:tcPr>
          <w:p w14:paraId="48DD93D6" w14:textId="77777777" w:rsidR="00232CB1" w:rsidRPr="00F41258" w:rsidRDefault="00232CB1" w:rsidP="00583FF0">
            <w:r w:rsidRPr="00F41258">
              <w:t>Außenwand</w:t>
            </w:r>
          </w:p>
        </w:tc>
        <w:tc>
          <w:tcPr>
            <w:tcW w:w="1346" w:type="pct"/>
            <w:tcBorders>
              <w:top w:val="single" w:sz="4" w:space="0" w:color="auto"/>
            </w:tcBorders>
            <w:shd w:val="clear" w:color="auto" w:fill="FFFFFF" w:themeFill="background1"/>
            <w:noWrap/>
            <w:vAlign w:val="center"/>
          </w:tcPr>
          <w:p w14:paraId="777D422B" w14:textId="77777777" w:rsidR="00232CB1" w:rsidRPr="00F41258" w:rsidRDefault="00232CB1" w:rsidP="003E78AC">
            <w:pPr>
              <w:pStyle w:val="FlietextKfW"/>
              <w:spacing w:line="276" w:lineRule="auto"/>
              <w:ind w:right="-142"/>
              <w:jc w:val="center"/>
              <w:rPr>
                <w:rFonts w:cs="Arial"/>
                <w:color w:val="auto"/>
                <w:sz w:val="22"/>
              </w:rPr>
            </w:pPr>
            <w:r w:rsidRPr="00F41258">
              <w:rPr>
                <w:rFonts w:cs="Arial"/>
                <w:color w:val="auto"/>
                <w:sz w:val="22"/>
              </w:rPr>
              <w:t>0,20</w:t>
            </w:r>
          </w:p>
        </w:tc>
        <w:tc>
          <w:tcPr>
            <w:tcW w:w="1204" w:type="pct"/>
            <w:tcBorders>
              <w:top w:val="single" w:sz="4" w:space="0" w:color="auto"/>
            </w:tcBorders>
            <w:shd w:val="clear" w:color="auto" w:fill="FFFFFF" w:themeFill="background1"/>
            <w:noWrap/>
            <w:vAlign w:val="center"/>
          </w:tcPr>
          <w:p w14:paraId="1B606C20" w14:textId="77777777" w:rsidR="00232CB1" w:rsidRPr="00F41258" w:rsidRDefault="00232CB1" w:rsidP="003E78AC">
            <w:pPr>
              <w:pStyle w:val="FlietextKfW"/>
              <w:spacing w:line="276" w:lineRule="auto"/>
              <w:ind w:right="-142"/>
              <w:jc w:val="center"/>
              <w:rPr>
                <w:rFonts w:cs="Arial"/>
                <w:color w:val="auto"/>
                <w:sz w:val="22"/>
              </w:rPr>
            </w:pPr>
            <w:r w:rsidRPr="00F41258">
              <w:rPr>
                <w:rFonts w:cs="Arial"/>
                <w:color w:val="auto"/>
                <w:sz w:val="22"/>
              </w:rPr>
              <w:t xml:space="preserve"> 0,25</w:t>
            </w:r>
          </w:p>
        </w:tc>
      </w:tr>
      <w:tr w:rsidR="00232CB1" w:rsidRPr="00F41258" w14:paraId="09729E58" w14:textId="77777777" w:rsidTr="00380B36">
        <w:trPr>
          <w:trHeight w:val="20"/>
        </w:trPr>
        <w:tc>
          <w:tcPr>
            <w:tcW w:w="2450" w:type="pct"/>
            <w:shd w:val="clear" w:color="auto" w:fill="FFFFFF" w:themeFill="background1"/>
            <w:vAlign w:val="center"/>
          </w:tcPr>
          <w:p w14:paraId="4EAD83F9" w14:textId="77777777" w:rsidR="00232CB1" w:rsidRPr="00F41258" w:rsidRDefault="00232CB1" w:rsidP="00583FF0">
            <w:r w:rsidRPr="00F41258">
              <w:t>Einblasdämmung/Kerndämmung bei bestehendem zweischaligem Mauerwerk</w:t>
            </w:r>
          </w:p>
        </w:tc>
        <w:tc>
          <w:tcPr>
            <w:tcW w:w="1346" w:type="pct"/>
            <w:shd w:val="clear" w:color="auto" w:fill="FFFFFF" w:themeFill="background1"/>
            <w:vAlign w:val="center"/>
          </w:tcPr>
          <w:p w14:paraId="71ACD96C" w14:textId="77777777" w:rsidR="00232CB1" w:rsidRPr="00F41258" w:rsidRDefault="00232CB1" w:rsidP="003E78AC">
            <w:pPr>
              <w:pStyle w:val="FlietextKfW"/>
              <w:spacing w:after="0" w:line="276" w:lineRule="auto"/>
              <w:ind w:right="-142"/>
              <w:jc w:val="center"/>
              <w:rPr>
                <w:rFonts w:cs="Arial"/>
                <w:color w:val="auto"/>
                <w:sz w:val="22"/>
              </w:rPr>
            </w:pPr>
            <w:r w:rsidRPr="00F41258">
              <w:rPr>
                <w:rFonts w:cs="Arial"/>
                <w:color w:val="auto"/>
                <w:sz w:val="22"/>
              </w:rPr>
              <w:t>λ ≤ 0,035 W/(</w:t>
            </w:r>
            <w:proofErr w:type="spellStart"/>
            <w:r w:rsidRPr="00F41258">
              <w:rPr>
                <w:rFonts w:cs="Arial"/>
                <w:color w:val="auto"/>
                <w:sz w:val="22"/>
              </w:rPr>
              <w:t>m·K</w:t>
            </w:r>
            <w:proofErr w:type="spellEnd"/>
            <w:r w:rsidRPr="00F41258">
              <w:rPr>
                <w:rFonts w:cs="Arial"/>
                <w:color w:val="auto"/>
                <w:sz w:val="22"/>
              </w:rPr>
              <w:t>)</w:t>
            </w:r>
          </w:p>
        </w:tc>
        <w:tc>
          <w:tcPr>
            <w:tcW w:w="1204" w:type="pct"/>
            <w:shd w:val="clear" w:color="auto" w:fill="FFFFFF" w:themeFill="background1"/>
            <w:vAlign w:val="center"/>
          </w:tcPr>
          <w:p w14:paraId="0F1DE8A4" w14:textId="77777777" w:rsidR="00232CB1" w:rsidRPr="00F41258" w:rsidRDefault="00232CB1" w:rsidP="003E78AC">
            <w:pPr>
              <w:pStyle w:val="FlietextKfW"/>
              <w:spacing w:after="0" w:line="276" w:lineRule="auto"/>
              <w:ind w:right="-142"/>
              <w:jc w:val="center"/>
              <w:rPr>
                <w:rFonts w:cs="Arial"/>
                <w:color w:val="auto"/>
                <w:sz w:val="22"/>
              </w:rPr>
            </w:pPr>
            <w:r w:rsidRPr="00F41258">
              <w:rPr>
                <w:rFonts w:cs="Arial"/>
                <w:color w:val="auto"/>
                <w:sz w:val="22"/>
              </w:rPr>
              <w:t>λ ≤ 0,040 W/(</w:t>
            </w:r>
            <w:proofErr w:type="spellStart"/>
            <w:r w:rsidRPr="00F41258">
              <w:rPr>
                <w:rFonts w:cs="Arial"/>
                <w:color w:val="auto"/>
                <w:sz w:val="22"/>
              </w:rPr>
              <w:t>m·K</w:t>
            </w:r>
            <w:proofErr w:type="spellEnd"/>
            <w:r w:rsidRPr="00F41258">
              <w:rPr>
                <w:rFonts w:cs="Arial"/>
                <w:color w:val="auto"/>
                <w:sz w:val="22"/>
              </w:rPr>
              <w:t>)</w:t>
            </w:r>
          </w:p>
        </w:tc>
      </w:tr>
      <w:tr w:rsidR="00816961" w:rsidRPr="00F41258" w14:paraId="6F555A66" w14:textId="77777777" w:rsidTr="00380B36">
        <w:trPr>
          <w:trHeight w:val="20"/>
        </w:trPr>
        <w:tc>
          <w:tcPr>
            <w:tcW w:w="2450" w:type="pct"/>
            <w:shd w:val="clear" w:color="auto" w:fill="FFFFFF" w:themeFill="background1"/>
            <w:vAlign w:val="center"/>
          </w:tcPr>
          <w:p w14:paraId="0D314361" w14:textId="77777777" w:rsidR="00816961" w:rsidRPr="00F41258" w:rsidRDefault="00816961" w:rsidP="00816961">
            <w:r w:rsidRPr="00F41258">
              <w:t>Außenwände bei Baudenkmalen für alle Gebäude und bei sonstiger besonders erhaltenswerter Bausubstanz nur für Wohngebäude</w:t>
            </w:r>
          </w:p>
        </w:tc>
        <w:tc>
          <w:tcPr>
            <w:tcW w:w="1346" w:type="pct"/>
            <w:shd w:val="clear" w:color="auto" w:fill="FFFFFF" w:themeFill="background1"/>
            <w:noWrap/>
            <w:vAlign w:val="center"/>
          </w:tcPr>
          <w:p w14:paraId="35F29690" w14:textId="77777777" w:rsidR="00816961" w:rsidRPr="00F41258" w:rsidRDefault="00816961" w:rsidP="00816961">
            <w:pPr>
              <w:pStyle w:val="FlietextKfW"/>
              <w:spacing w:line="276" w:lineRule="auto"/>
              <w:ind w:right="-142"/>
              <w:jc w:val="center"/>
              <w:rPr>
                <w:rFonts w:cs="Arial"/>
                <w:color w:val="auto"/>
                <w:sz w:val="22"/>
              </w:rPr>
            </w:pPr>
            <w:r w:rsidRPr="00F41258">
              <w:rPr>
                <w:rFonts w:cs="Arial"/>
                <w:color w:val="auto"/>
                <w:sz w:val="22"/>
              </w:rPr>
              <w:t>0,45</w:t>
            </w:r>
          </w:p>
        </w:tc>
        <w:tc>
          <w:tcPr>
            <w:tcW w:w="1204" w:type="pct"/>
            <w:shd w:val="clear" w:color="auto" w:fill="FFFFFF" w:themeFill="background1"/>
            <w:noWrap/>
            <w:vAlign w:val="center"/>
          </w:tcPr>
          <w:p w14:paraId="3686E03D" w14:textId="77777777" w:rsidR="00816961" w:rsidRPr="00F41258" w:rsidRDefault="00816961" w:rsidP="00816961">
            <w:pPr>
              <w:pStyle w:val="FlietextKfW"/>
              <w:spacing w:line="276" w:lineRule="auto"/>
              <w:ind w:right="-142"/>
              <w:jc w:val="center"/>
              <w:rPr>
                <w:rFonts w:cs="Arial"/>
                <w:color w:val="auto"/>
                <w:sz w:val="22"/>
              </w:rPr>
            </w:pPr>
            <w:r w:rsidRPr="00F41258">
              <w:rPr>
                <w:rFonts w:cs="Arial"/>
                <w:color w:val="auto"/>
                <w:sz w:val="22"/>
              </w:rPr>
              <w:t>0,55</w:t>
            </w:r>
          </w:p>
        </w:tc>
      </w:tr>
      <w:tr w:rsidR="00816961" w:rsidRPr="00F41258" w14:paraId="3C3C7EC5" w14:textId="77777777" w:rsidTr="00EB6174">
        <w:trPr>
          <w:trHeight w:val="20"/>
        </w:trPr>
        <w:tc>
          <w:tcPr>
            <w:tcW w:w="2450" w:type="pct"/>
            <w:tcBorders>
              <w:bottom w:val="single" w:sz="4" w:space="0" w:color="auto"/>
            </w:tcBorders>
            <w:shd w:val="clear" w:color="auto" w:fill="FFFFFF" w:themeFill="background1"/>
            <w:vAlign w:val="center"/>
          </w:tcPr>
          <w:p w14:paraId="3879FDE1" w14:textId="77777777" w:rsidR="00816961" w:rsidRPr="00F41258" w:rsidRDefault="00816961" w:rsidP="00816961">
            <w:r w:rsidRPr="00F41258">
              <w:t xml:space="preserve">Außenwände mit Sichtfachwerk (Innendämmung bei </w:t>
            </w:r>
            <w:r w:rsidRPr="00F41258">
              <w:lastRenderedPageBreak/>
              <w:t>Fachwerkaußenwänden, Erneuerung der Ausfachungen)</w:t>
            </w:r>
          </w:p>
        </w:tc>
        <w:tc>
          <w:tcPr>
            <w:tcW w:w="1346" w:type="pct"/>
            <w:tcBorders>
              <w:bottom w:val="single" w:sz="4" w:space="0" w:color="auto"/>
            </w:tcBorders>
            <w:shd w:val="clear" w:color="auto" w:fill="auto"/>
            <w:noWrap/>
            <w:vAlign w:val="center"/>
          </w:tcPr>
          <w:p w14:paraId="3B0D8046" w14:textId="77777777" w:rsidR="00816961" w:rsidRPr="00F41258" w:rsidRDefault="00816961" w:rsidP="00816961">
            <w:pPr>
              <w:pStyle w:val="FlietextKfW"/>
              <w:spacing w:line="276" w:lineRule="auto"/>
              <w:ind w:right="-142"/>
              <w:jc w:val="center"/>
              <w:rPr>
                <w:rFonts w:cs="Arial"/>
                <w:color w:val="auto"/>
                <w:sz w:val="22"/>
              </w:rPr>
            </w:pPr>
            <w:r w:rsidRPr="00F41258">
              <w:rPr>
                <w:rFonts w:cs="Arial"/>
                <w:color w:val="auto"/>
                <w:sz w:val="22"/>
              </w:rPr>
              <w:lastRenderedPageBreak/>
              <w:t>0,65</w:t>
            </w:r>
          </w:p>
        </w:tc>
        <w:tc>
          <w:tcPr>
            <w:tcW w:w="1204" w:type="pct"/>
            <w:tcBorders>
              <w:bottom w:val="single" w:sz="4" w:space="0" w:color="auto"/>
            </w:tcBorders>
            <w:shd w:val="clear" w:color="auto" w:fill="auto"/>
            <w:noWrap/>
            <w:vAlign w:val="center"/>
          </w:tcPr>
          <w:p w14:paraId="0FFEC79D" w14:textId="77777777" w:rsidR="00816961" w:rsidRPr="00F41258" w:rsidRDefault="00816961" w:rsidP="00816961">
            <w:pPr>
              <w:pStyle w:val="FlietextKfW"/>
              <w:spacing w:line="276" w:lineRule="auto"/>
              <w:ind w:right="-142"/>
              <w:jc w:val="center"/>
              <w:rPr>
                <w:rFonts w:cs="Arial"/>
                <w:color w:val="auto"/>
                <w:sz w:val="22"/>
              </w:rPr>
            </w:pPr>
            <w:r w:rsidRPr="00F41258">
              <w:rPr>
                <w:rFonts w:cs="Arial"/>
                <w:color w:val="auto"/>
                <w:sz w:val="22"/>
              </w:rPr>
              <w:t>0,80</w:t>
            </w:r>
          </w:p>
        </w:tc>
      </w:tr>
      <w:tr w:rsidR="00816961" w:rsidRPr="00F41258" w14:paraId="36E6DD92" w14:textId="77777777" w:rsidTr="00EB6174">
        <w:trPr>
          <w:trHeight w:val="812"/>
        </w:trPr>
        <w:tc>
          <w:tcPr>
            <w:tcW w:w="5000" w:type="pct"/>
            <w:gridSpan w:val="3"/>
            <w:tcBorders>
              <w:top w:val="single" w:sz="4" w:space="0" w:color="auto"/>
              <w:left w:val="none" w:sz="4" w:space="0" w:color="000000" w:themeColor="text1"/>
              <w:bottom w:val="single" w:sz="4" w:space="0" w:color="auto"/>
              <w:right w:val="none" w:sz="4" w:space="0" w:color="000000" w:themeColor="text1"/>
            </w:tcBorders>
            <w:shd w:val="clear" w:color="auto" w:fill="auto"/>
            <w:vAlign w:val="center"/>
          </w:tcPr>
          <w:p w14:paraId="60E3274E" w14:textId="0D693D55" w:rsidR="00816961" w:rsidRPr="00F41258" w:rsidRDefault="00816961" w:rsidP="00816961">
            <w:r w:rsidRPr="00F41258">
              <w:t>Bauteilgruppe:</w:t>
            </w:r>
            <w:r w:rsidRPr="00F41258">
              <w:br/>
              <w:t>Fenster, Fenstertüren, Dachflächenfenster, Glasdächer, Außentüren und Vorhangfassaden sowie Tore bei Nichtwohngebäuden</w:t>
            </w:r>
          </w:p>
          <w:p w14:paraId="77D80FE6" w14:textId="0B0BDB27" w:rsidR="00DF1168" w:rsidRPr="00F41258" w:rsidRDefault="00DF1168" w:rsidP="00816961"/>
        </w:tc>
      </w:tr>
      <w:tr w:rsidR="00816961" w:rsidRPr="00F41258" w14:paraId="39464457" w14:textId="77777777" w:rsidTr="00380B36">
        <w:trPr>
          <w:trHeight w:val="20"/>
        </w:trPr>
        <w:tc>
          <w:tcPr>
            <w:tcW w:w="2450" w:type="pct"/>
            <w:tcBorders>
              <w:top w:val="single" w:sz="4" w:space="0" w:color="auto"/>
            </w:tcBorders>
            <w:shd w:val="clear" w:color="auto" w:fill="auto"/>
            <w:vAlign w:val="center"/>
          </w:tcPr>
          <w:p w14:paraId="51CEFCFC" w14:textId="77777777" w:rsidR="00816961" w:rsidRPr="00F41258" w:rsidRDefault="00816961" w:rsidP="00380B36">
            <w:pPr>
              <w:jc w:val="left"/>
            </w:pPr>
            <w:r w:rsidRPr="00F41258">
              <w:t xml:space="preserve">Fenster, Balkon- und Terrassentüren </w:t>
            </w:r>
            <w:r w:rsidRPr="00F41258">
              <w:rPr>
                <w:rStyle w:val="Funotenzeichen"/>
              </w:rPr>
              <w:footnoteReference w:id="2"/>
            </w:r>
          </w:p>
        </w:tc>
        <w:tc>
          <w:tcPr>
            <w:tcW w:w="1346" w:type="pct"/>
            <w:tcBorders>
              <w:top w:val="single" w:sz="4" w:space="0" w:color="auto"/>
            </w:tcBorders>
            <w:shd w:val="clear" w:color="auto" w:fill="auto"/>
            <w:noWrap/>
            <w:vAlign w:val="center"/>
          </w:tcPr>
          <w:p w14:paraId="0CCC2C50" w14:textId="77777777" w:rsidR="00816961" w:rsidRPr="00F41258" w:rsidRDefault="00816961" w:rsidP="00816961">
            <w:pPr>
              <w:pStyle w:val="FlietextKfW"/>
              <w:spacing w:line="276" w:lineRule="auto"/>
              <w:ind w:right="-142"/>
              <w:jc w:val="center"/>
              <w:rPr>
                <w:rFonts w:cs="Arial"/>
                <w:color w:val="auto"/>
                <w:sz w:val="22"/>
              </w:rPr>
            </w:pPr>
            <w:r w:rsidRPr="00F41258">
              <w:rPr>
                <w:rFonts w:cs="Arial"/>
                <w:color w:val="auto"/>
                <w:sz w:val="22"/>
              </w:rPr>
              <w:t>0,95</w:t>
            </w:r>
          </w:p>
        </w:tc>
        <w:tc>
          <w:tcPr>
            <w:tcW w:w="1204" w:type="pct"/>
            <w:tcBorders>
              <w:top w:val="single" w:sz="4" w:space="0" w:color="auto"/>
            </w:tcBorders>
            <w:shd w:val="clear" w:color="auto" w:fill="auto"/>
            <w:noWrap/>
            <w:vAlign w:val="center"/>
          </w:tcPr>
          <w:p w14:paraId="0FCCA799" w14:textId="77777777" w:rsidR="00816961" w:rsidRPr="00F41258" w:rsidRDefault="00816961" w:rsidP="00816961">
            <w:pPr>
              <w:pStyle w:val="FlietextKfW"/>
              <w:spacing w:line="276" w:lineRule="auto"/>
              <w:ind w:right="-142"/>
              <w:jc w:val="center"/>
              <w:rPr>
                <w:rFonts w:cs="Arial"/>
                <w:color w:val="auto"/>
                <w:sz w:val="22"/>
              </w:rPr>
            </w:pPr>
            <w:r w:rsidRPr="00F41258">
              <w:rPr>
                <w:rFonts w:cs="Arial"/>
                <w:color w:val="auto"/>
                <w:sz w:val="22"/>
              </w:rPr>
              <w:t>1,3</w:t>
            </w:r>
          </w:p>
        </w:tc>
      </w:tr>
      <w:tr w:rsidR="00816961" w:rsidRPr="00F41258" w14:paraId="71FBC8EF" w14:textId="77777777" w:rsidTr="00380B36">
        <w:trPr>
          <w:trHeight w:val="20"/>
        </w:trPr>
        <w:tc>
          <w:tcPr>
            <w:tcW w:w="2450" w:type="pct"/>
            <w:shd w:val="clear" w:color="auto" w:fill="auto"/>
            <w:vAlign w:val="center"/>
          </w:tcPr>
          <w:p w14:paraId="57B89A71" w14:textId="77777777" w:rsidR="00816961" w:rsidRPr="00F41258" w:rsidRDefault="00816961" w:rsidP="00380B36">
            <w:pPr>
              <w:jc w:val="left"/>
            </w:pPr>
            <w:r w:rsidRPr="00F41258">
              <w:t>Ertüchtigung von Fenstern, Balkon- und Terrassentüren sowie von Kastenfenstern sowie von Fenstern mit Sonderverglasung</w:t>
            </w:r>
          </w:p>
        </w:tc>
        <w:tc>
          <w:tcPr>
            <w:tcW w:w="1346" w:type="pct"/>
            <w:shd w:val="clear" w:color="auto" w:fill="auto"/>
            <w:noWrap/>
            <w:vAlign w:val="center"/>
          </w:tcPr>
          <w:p w14:paraId="6009BCE9" w14:textId="77777777" w:rsidR="00816961" w:rsidRPr="00F41258" w:rsidRDefault="00816961" w:rsidP="00816961">
            <w:pPr>
              <w:pStyle w:val="FlietextKfW"/>
              <w:spacing w:line="276" w:lineRule="auto"/>
              <w:ind w:right="-142"/>
              <w:jc w:val="center"/>
              <w:rPr>
                <w:rFonts w:cs="Arial"/>
                <w:color w:val="auto"/>
                <w:sz w:val="22"/>
              </w:rPr>
            </w:pPr>
            <w:r w:rsidRPr="00F41258">
              <w:rPr>
                <w:rFonts w:cs="Arial"/>
                <w:color w:val="auto"/>
                <w:sz w:val="22"/>
              </w:rPr>
              <w:t>1,3</w:t>
            </w:r>
          </w:p>
        </w:tc>
        <w:tc>
          <w:tcPr>
            <w:tcW w:w="1204" w:type="pct"/>
            <w:shd w:val="clear" w:color="auto" w:fill="auto"/>
            <w:noWrap/>
            <w:vAlign w:val="center"/>
          </w:tcPr>
          <w:p w14:paraId="70A12B01" w14:textId="77777777" w:rsidR="00816961" w:rsidRPr="00F41258" w:rsidRDefault="00816961" w:rsidP="00816961">
            <w:pPr>
              <w:pStyle w:val="FlietextKfW"/>
              <w:spacing w:line="276" w:lineRule="auto"/>
              <w:ind w:right="-142"/>
              <w:jc w:val="center"/>
              <w:rPr>
                <w:rFonts w:cs="Arial"/>
                <w:color w:val="auto"/>
                <w:sz w:val="22"/>
              </w:rPr>
            </w:pPr>
            <w:r w:rsidRPr="00F41258">
              <w:rPr>
                <w:rFonts w:cs="Arial"/>
                <w:color w:val="auto"/>
                <w:sz w:val="22"/>
              </w:rPr>
              <w:t>1,6</w:t>
            </w:r>
          </w:p>
        </w:tc>
      </w:tr>
      <w:tr w:rsidR="00816961" w:rsidRPr="00F41258" w14:paraId="268A3693" w14:textId="77777777" w:rsidTr="00380B36">
        <w:trPr>
          <w:trHeight w:val="20"/>
        </w:trPr>
        <w:tc>
          <w:tcPr>
            <w:tcW w:w="2450" w:type="pct"/>
            <w:shd w:val="clear" w:color="auto" w:fill="auto"/>
            <w:vAlign w:val="center"/>
          </w:tcPr>
          <w:p w14:paraId="63587787" w14:textId="77777777" w:rsidR="00816961" w:rsidRPr="00F41258" w:rsidRDefault="00816961" w:rsidP="00380B36">
            <w:pPr>
              <w:jc w:val="left"/>
            </w:pPr>
            <w:r w:rsidRPr="00F41258">
              <w:t>Barrierearme oder einbruchhemmende Fenster, Balkon- und Terrassentüren</w:t>
            </w:r>
          </w:p>
        </w:tc>
        <w:tc>
          <w:tcPr>
            <w:tcW w:w="1346" w:type="pct"/>
            <w:shd w:val="clear" w:color="auto" w:fill="auto"/>
            <w:noWrap/>
            <w:vAlign w:val="center"/>
          </w:tcPr>
          <w:p w14:paraId="53EE55E0" w14:textId="77777777" w:rsidR="00816961" w:rsidRPr="00F41258" w:rsidRDefault="00816961" w:rsidP="00816961">
            <w:pPr>
              <w:pStyle w:val="FlietextKfW"/>
              <w:spacing w:line="276" w:lineRule="auto"/>
              <w:ind w:right="-142"/>
              <w:jc w:val="center"/>
              <w:rPr>
                <w:rFonts w:cs="Arial"/>
                <w:color w:val="auto"/>
                <w:sz w:val="22"/>
              </w:rPr>
            </w:pPr>
            <w:r w:rsidRPr="00F41258">
              <w:rPr>
                <w:rFonts w:cs="Arial"/>
                <w:color w:val="auto"/>
                <w:sz w:val="22"/>
              </w:rPr>
              <w:t>1,1</w:t>
            </w:r>
          </w:p>
        </w:tc>
        <w:tc>
          <w:tcPr>
            <w:tcW w:w="1204" w:type="pct"/>
            <w:shd w:val="clear" w:color="auto" w:fill="auto"/>
            <w:noWrap/>
            <w:vAlign w:val="center"/>
          </w:tcPr>
          <w:p w14:paraId="7961586D" w14:textId="77777777" w:rsidR="00816961" w:rsidRPr="00F41258" w:rsidRDefault="00816961" w:rsidP="00816961">
            <w:pPr>
              <w:pStyle w:val="FlietextKfW"/>
              <w:spacing w:line="276" w:lineRule="auto"/>
              <w:ind w:right="-142"/>
              <w:jc w:val="center"/>
              <w:rPr>
                <w:rFonts w:cs="Arial"/>
                <w:color w:val="auto"/>
                <w:sz w:val="22"/>
              </w:rPr>
            </w:pPr>
            <w:r w:rsidRPr="00F41258">
              <w:rPr>
                <w:rFonts w:cs="Arial"/>
                <w:color w:val="auto"/>
                <w:sz w:val="22"/>
              </w:rPr>
              <w:t>1,4</w:t>
            </w:r>
          </w:p>
        </w:tc>
      </w:tr>
      <w:tr w:rsidR="00816961" w:rsidRPr="00F41258" w14:paraId="1132D1E1" w14:textId="77777777" w:rsidTr="00380B36">
        <w:trPr>
          <w:trHeight w:val="20"/>
        </w:trPr>
        <w:tc>
          <w:tcPr>
            <w:tcW w:w="2450" w:type="pct"/>
            <w:shd w:val="clear" w:color="auto" w:fill="auto"/>
            <w:vAlign w:val="center"/>
          </w:tcPr>
          <w:p w14:paraId="1F5C6B50" w14:textId="77777777" w:rsidR="00816961" w:rsidRPr="00F41258" w:rsidRDefault="00816961" w:rsidP="00380B36">
            <w:pPr>
              <w:jc w:val="left"/>
            </w:pPr>
            <w:r w:rsidRPr="00F41258">
              <w:t>Fenster, Balkon- und Terrassentüren mit Sonderverglasung (Verglasung zum Schall- und Brandschutz sowie Durchschuss-, Durchbruch- und Sprengwirkungshemmung)</w:t>
            </w:r>
            <w:r w:rsidRPr="00F41258">
              <w:rPr>
                <w:rStyle w:val="Funotenzeichen"/>
              </w:rPr>
              <w:t xml:space="preserve"> </w:t>
            </w:r>
          </w:p>
        </w:tc>
        <w:tc>
          <w:tcPr>
            <w:tcW w:w="1346" w:type="pct"/>
            <w:shd w:val="clear" w:color="auto" w:fill="auto"/>
            <w:noWrap/>
            <w:vAlign w:val="center"/>
          </w:tcPr>
          <w:p w14:paraId="378DA199" w14:textId="77777777" w:rsidR="00816961" w:rsidRPr="00F41258" w:rsidRDefault="00816961" w:rsidP="00816961">
            <w:pPr>
              <w:pStyle w:val="FlietextKfW"/>
              <w:spacing w:line="276" w:lineRule="auto"/>
              <w:ind w:right="-142"/>
              <w:jc w:val="center"/>
              <w:rPr>
                <w:rFonts w:cs="Arial"/>
                <w:color w:val="auto"/>
                <w:sz w:val="22"/>
              </w:rPr>
            </w:pPr>
            <w:r w:rsidRPr="00F41258">
              <w:rPr>
                <w:rFonts w:cs="Arial"/>
                <w:color w:val="auto"/>
                <w:sz w:val="22"/>
              </w:rPr>
              <w:t>1,1</w:t>
            </w:r>
          </w:p>
        </w:tc>
        <w:tc>
          <w:tcPr>
            <w:tcW w:w="1204" w:type="pct"/>
            <w:shd w:val="clear" w:color="auto" w:fill="auto"/>
            <w:noWrap/>
            <w:vAlign w:val="center"/>
          </w:tcPr>
          <w:p w14:paraId="4F7D33A3" w14:textId="77777777" w:rsidR="00816961" w:rsidRPr="00F41258" w:rsidRDefault="00816961" w:rsidP="00816961">
            <w:pPr>
              <w:pStyle w:val="FlietextKfW"/>
              <w:spacing w:line="276" w:lineRule="auto"/>
              <w:ind w:right="-142"/>
              <w:jc w:val="center"/>
              <w:rPr>
                <w:rFonts w:cs="Arial"/>
                <w:color w:val="auto"/>
                <w:sz w:val="22"/>
              </w:rPr>
            </w:pPr>
            <w:r w:rsidRPr="00F41258">
              <w:rPr>
                <w:rFonts w:cs="Arial"/>
                <w:color w:val="auto"/>
                <w:sz w:val="22"/>
              </w:rPr>
              <w:t>1,4</w:t>
            </w:r>
          </w:p>
        </w:tc>
      </w:tr>
      <w:tr w:rsidR="00816961" w:rsidRPr="00F41258" w14:paraId="068111F3" w14:textId="77777777" w:rsidTr="00380B36">
        <w:trPr>
          <w:trHeight w:val="20"/>
        </w:trPr>
        <w:tc>
          <w:tcPr>
            <w:tcW w:w="2450" w:type="pct"/>
            <w:shd w:val="clear" w:color="auto" w:fill="auto"/>
            <w:vAlign w:val="center"/>
          </w:tcPr>
          <w:p w14:paraId="65AA5A29" w14:textId="77777777" w:rsidR="00816961" w:rsidRPr="00F41258" w:rsidRDefault="00816961" w:rsidP="00380B36">
            <w:pPr>
              <w:jc w:val="left"/>
            </w:pPr>
            <w:r w:rsidRPr="00F41258">
              <w:t>Fenster, Balkon- und Terrassentüren bei Baudenkmalen für alle Gebäude und bei sonstiger besonders erhaltenswerter Bausubstanz nur für Wohngebäude</w:t>
            </w:r>
            <w:r w:rsidRPr="00F41258">
              <w:rPr>
                <w:rStyle w:val="Funotenzeichen"/>
              </w:rPr>
              <w:t xml:space="preserve"> </w:t>
            </w:r>
          </w:p>
        </w:tc>
        <w:tc>
          <w:tcPr>
            <w:tcW w:w="1346" w:type="pct"/>
            <w:shd w:val="clear" w:color="auto" w:fill="auto"/>
            <w:noWrap/>
            <w:vAlign w:val="center"/>
          </w:tcPr>
          <w:p w14:paraId="5351C44A" w14:textId="77777777" w:rsidR="00816961" w:rsidRPr="00F41258" w:rsidRDefault="00816961" w:rsidP="00816961">
            <w:pPr>
              <w:pStyle w:val="FlietextKfW"/>
              <w:spacing w:line="276" w:lineRule="auto"/>
              <w:ind w:right="-142"/>
              <w:jc w:val="center"/>
              <w:rPr>
                <w:rFonts w:cs="Arial"/>
                <w:color w:val="auto"/>
                <w:sz w:val="22"/>
              </w:rPr>
            </w:pPr>
            <w:r w:rsidRPr="00F41258">
              <w:rPr>
                <w:rFonts w:cs="Arial"/>
                <w:color w:val="auto"/>
                <w:sz w:val="22"/>
              </w:rPr>
              <w:t xml:space="preserve">1,4 </w:t>
            </w:r>
          </w:p>
        </w:tc>
        <w:tc>
          <w:tcPr>
            <w:tcW w:w="1204" w:type="pct"/>
            <w:shd w:val="clear" w:color="auto" w:fill="auto"/>
            <w:noWrap/>
            <w:vAlign w:val="center"/>
          </w:tcPr>
          <w:p w14:paraId="02E42C38" w14:textId="77777777" w:rsidR="00816961" w:rsidRPr="00F41258" w:rsidRDefault="00816961" w:rsidP="00816961">
            <w:pPr>
              <w:pStyle w:val="FlietextKfW"/>
              <w:spacing w:line="276" w:lineRule="auto"/>
              <w:ind w:right="-142"/>
              <w:jc w:val="center"/>
              <w:rPr>
                <w:rFonts w:cs="Arial"/>
                <w:color w:val="auto"/>
                <w:sz w:val="22"/>
              </w:rPr>
            </w:pPr>
            <w:r w:rsidRPr="00F41258">
              <w:rPr>
                <w:rFonts w:cs="Arial"/>
                <w:color w:val="auto"/>
                <w:sz w:val="22"/>
              </w:rPr>
              <w:t>1,7</w:t>
            </w:r>
          </w:p>
        </w:tc>
      </w:tr>
      <w:tr w:rsidR="00816961" w:rsidRPr="00F41258" w14:paraId="7CE27E22" w14:textId="77777777" w:rsidTr="00380B36">
        <w:trPr>
          <w:trHeight w:val="20"/>
        </w:trPr>
        <w:tc>
          <w:tcPr>
            <w:tcW w:w="2450" w:type="pct"/>
            <w:shd w:val="clear" w:color="auto" w:fill="auto"/>
            <w:vAlign w:val="center"/>
          </w:tcPr>
          <w:p w14:paraId="209A5433" w14:textId="77777777" w:rsidR="00816961" w:rsidRPr="00F41258" w:rsidRDefault="00816961" w:rsidP="00380B36">
            <w:pPr>
              <w:jc w:val="left"/>
            </w:pPr>
            <w:r w:rsidRPr="00F41258">
              <w:t xml:space="preserve">Fenster, Balkon- und Terrassentüren mit echten </w:t>
            </w:r>
            <w:proofErr w:type="spellStart"/>
            <w:r w:rsidRPr="00F41258">
              <w:t>glasteilenden</w:t>
            </w:r>
            <w:proofErr w:type="spellEnd"/>
            <w:r w:rsidRPr="00F41258">
              <w:t xml:space="preserve"> Sprossen bei Baudenkmalen für alle Gebäude und bei sonstiger besonders erhaltenswerter Bausubstanz nur für Wohngebäude </w:t>
            </w:r>
          </w:p>
        </w:tc>
        <w:tc>
          <w:tcPr>
            <w:tcW w:w="1346" w:type="pct"/>
            <w:shd w:val="clear" w:color="auto" w:fill="auto"/>
            <w:noWrap/>
            <w:vAlign w:val="center"/>
          </w:tcPr>
          <w:p w14:paraId="5B9CE67B" w14:textId="77777777" w:rsidR="00816961" w:rsidRPr="00F41258" w:rsidRDefault="00816961" w:rsidP="00816961">
            <w:pPr>
              <w:pStyle w:val="FlietextKfW"/>
              <w:spacing w:line="276" w:lineRule="auto"/>
              <w:ind w:right="-142"/>
              <w:jc w:val="center"/>
              <w:rPr>
                <w:rFonts w:cs="Arial"/>
                <w:color w:val="auto"/>
                <w:sz w:val="22"/>
              </w:rPr>
            </w:pPr>
            <w:r w:rsidRPr="00F41258">
              <w:rPr>
                <w:rFonts w:cs="Arial"/>
                <w:color w:val="auto"/>
                <w:sz w:val="22"/>
              </w:rPr>
              <w:t>1,6</w:t>
            </w:r>
          </w:p>
        </w:tc>
        <w:tc>
          <w:tcPr>
            <w:tcW w:w="1204" w:type="pct"/>
            <w:shd w:val="clear" w:color="auto" w:fill="auto"/>
            <w:noWrap/>
            <w:vAlign w:val="center"/>
          </w:tcPr>
          <w:p w14:paraId="2D42F5F5" w14:textId="77777777" w:rsidR="00816961" w:rsidRPr="00F41258" w:rsidRDefault="00816961" w:rsidP="00816961">
            <w:pPr>
              <w:pStyle w:val="FlietextKfW"/>
              <w:spacing w:line="276" w:lineRule="auto"/>
              <w:ind w:right="-142"/>
              <w:jc w:val="center"/>
              <w:rPr>
                <w:rFonts w:cs="Arial"/>
                <w:color w:val="auto"/>
                <w:sz w:val="22"/>
              </w:rPr>
            </w:pPr>
            <w:r w:rsidRPr="00F41258">
              <w:rPr>
                <w:rFonts w:cs="Arial"/>
                <w:color w:val="auto"/>
                <w:sz w:val="22"/>
              </w:rPr>
              <w:t>1,7</w:t>
            </w:r>
          </w:p>
        </w:tc>
      </w:tr>
      <w:tr w:rsidR="00816961" w:rsidRPr="00F41258" w14:paraId="44046FE3" w14:textId="77777777" w:rsidTr="00380B36">
        <w:trPr>
          <w:trHeight w:val="20"/>
        </w:trPr>
        <w:tc>
          <w:tcPr>
            <w:tcW w:w="2450" w:type="pct"/>
            <w:shd w:val="clear" w:color="auto" w:fill="auto"/>
            <w:vAlign w:val="center"/>
          </w:tcPr>
          <w:p w14:paraId="180DDF28" w14:textId="77777777" w:rsidR="00816961" w:rsidRPr="00F41258" w:rsidRDefault="00816961" w:rsidP="00380B36">
            <w:pPr>
              <w:jc w:val="left"/>
            </w:pPr>
            <w:r w:rsidRPr="00F41258">
              <w:t>Ertüchtigung von Fenstern, Balkon- und Terrassentüren bei Baudenkmalen für alle Gebäude und bei sonstiger besonders erhaltenswerter Bausubstanz nur für Wohngebäude</w:t>
            </w:r>
          </w:p>
        </w:tc>
        <w:tc>
          <w:tcPr>
            <w:tcW w:w="1346" w:type="pct"/>
            <w:shd w:val="clear" w:color="auto" w:fill="auto"/>
            <w:noWrap/>
            <w:vAlign w:val="center"/>
          </w:tcPr>
          <w:p w14:paraId="6736BE4C" w14:textId="77777777" w:rsidR="00816961" w:rsidRPr="00F41258" w:rsidRDefault="00816961" w:rsidP="00816961">
            <w:pPr>
              <w:pStyle w:val="FlietextKfW"/>
              <w:spacing w:line="276" w:lineRule="auto"/>
              <w:ind w:right="-142"/>
              <w:jc w:val="center"/>
              <w:rPr>
                <w:rFonts w:cs="Arial"/>
                <w:color w:val="auto"/>
                <w:sz w:val="22"/>
              </w:rPr>
            </w:pPr>
            <w:r w:rsidRPr="00F41258">
              <w:rPr>
                <w:rFonts w:cs="Arial"/>
                <w:color w:val="auto"/>
                <w:sz w:val="22"/>
              </w:rPr>
              <w:t>1,6</w:t>
            </w:r>
          </w:p>
        </w:tc>
        <w:tc>
          <w:tcPr>
            <w:tcW w:w="1204" w:type="pct"/>
            <w:shd w:val="clear" w:color="auto" w:fill="auto"/>
            <w:noWrap/>
            <w:vAlign w:val="center"/>
          </w:tcPr>
          <w:p w14:paraId="3A2F4F5D" w14:textId="77777777" w:rsidR="00816961" w:rsidRPr="00F41258" w:rsidRDefault="00816961" w:rsidP="00816961">
            <w:pPr>
              <w:pStyle w:val="FlietextKfW"/>
              <w:spacing w:line="276" w:lineRule="auto"/>
              <w:ind w:right="-142"/>
              <w:jc w:val="center"/>
              <w:rPr>
                <w:rFonts w:cs="Arial"/>
                <w:color w:val="auto"/>
                <w:sz w:val="22"/>
              </w:rPr>
            </w:pPr>
            <w:r w:rsidRPr="00F41258">
              <w:rPr>
                <w:rFonts w:cs="Arial"/>
                <w:color w:val="auto"/>
                <w:sz w:val="22"/>
              </w:rPr>
              <w:t>1,9</w:t>
            </w:r>
          </w:p>
        </w:tc>
      </w:tr>
      <w:tr w:rsidR="00816961" w:rsidRPr="00F41258" w14:paraId="73564889" w14:textId="77777777" w:rsidTr="00380B36">
        <w:trPr>
          <w:trHeight w:val="20"/>
        </w:trPr>
        <w:tc>
          <w:tcPr>
            <w:tcW w:w="2450" w:type="pct"/>
            <w:shd w:val="clear" w:color="auto" w:fill="auto"/>
            <w:vAlign w:val="center"/>
          </w:tcPr>
          <w:p w14:paraId="79452DC7" w14:textId="77777777" w:rsidR="00816961" w:rsidRPr="00F41258" w:rsidRDefault="00816961" w:rsidP="00380B36">
            <w:pPr>
              <w:jc w:val="left"/>
            </w:pPr>
            <w:r w:rsidRPr="00F41258">
              <w:lastRenderedPageBreak/>
              <w:t>Dachflächenfenster</w:t>
            </w:r>
          </w:p>
        </w:tc>
        <w:tc>
          <w:tcPr>
            <w:tcW w:w="1346" w:type="pct"/>
            <w:shd w:val="clear" w:color="auto" w:fill="auto"/>
            <w:noWrap/>
            <w:vAlign w:val="center"/>
          </w:tcPr>
          <w:p w14:paraId="6DFA3515" w14:textId="77777777" w:rsidR="00816961" w:rsidRPr="00F41258" w:rsidRDefault="00816961" w:rsidP="00816961">
            <w:pPr>
              <w:pStyle w:val="FlietextKfW"/>
              <w:spacing w:line="276" w:lineRule="auto"/>
              <w:ind w:right="-142"/>
              <w:jc w:val="center"/>
              <w:rPr>
                <w:rFonts w:cs="Arial"/>
                <w:color w:val="auto"/>
                <w:sz w:val="22"/>
              </w:rPr>
            </w:pPr>
            <w:r w:rsidRPr="00F41258">
              <w:rPr>
                <w:rFonts w:cs="Arial"/>
                <w:color w:val="auto"/>
                <w:sz w:val="22"/>
              </w:rPr>
              <w:t>1,0</w:t>
            </w:r>
          </w:p>
        </w:tc>
        <w:tc>
          <w:tcPr>
            <w:tcW w:w="1204" w:type="pct"/>
            <w:shd w:val="clear" w:color="auto" w:fill="auto"/>
            <w:noWrap/>
            <w:vAlign w:val="center"/>
          </w:tcPr>
          <w:p w14:paraId="32D36855" w14:textId="77777777" w:rsidR="00816961" w:rsidRPr="00F41258" w:rsidRDefault="00816961" w:rsidP="00816961">
            <w:pPr>
              <w:pStyle w:val="FlietextKfW"/>
              <w:spacing w:line="276" w:lineRule="auto"/>
              <w:ind w:right="-142"/>
              <w:jc w:val="center"/>
              <w:rPr>
                <w:rFonts w:cs="Arial"/>
                <w:color w:val="auto"/>
                <w:sz w:val="22"/>
              </w:rPr>
            </w:pPr>
            <w:r w:rsidRPr="00F41258">
              <w:rPr>
                <w:rFonts w:cs="Arial"/>
                <w:color w:val="auto"/>
                <w:sz w:val="22"/>
              </w:rPr>
              <w:t>1,1</w:t>
            </w:r>
          </w:p>
        </w:tc>
      </w:tr>
      <w:tr w:rsidR="00816961" w:rsidRPr="00F41258" w14:paraId="2F87797A" w14:textId="77777777" w:rsidTr="00380B36">
        <w:trPr>
          <w:trHeight w:val="20"/>
        </w:trPr>
        <w:tc>
          <w:tcPr>
            <w:tcW w:w="2450" w:type="pct"/>
            <w:shd w:val="clear" w:color="auto" w:fill="auto"/>
            <w:vAlign w:val="center"/>
          </w:tcPr>
          <w:p w14:paraId="5029B0CC" w14:textId="77777777" w:rsidR="00816961" w:rsidRPr="00F41258" w:rsidRDefault="00816961" w:rsidP="00380B36">
            <w:pPr>
              <w:jc w:val="left"/>
            </w:pPr>
            <w:r w:rsidRPr="00F41258">
              <w:t>Glasdächer</w:t>
            </w:r>
          </w:p>
        </w:tc>
        <w:tc>
          <w:tcPr>
            <w:tcW w:w="1346" w:type="pct"/>
            <w:shd w:val="clear" w:color="auto" w:fill="auto"/>
            <w:noWrap/>
            <w:vAlign w:val="center"/>
          </w:tcPr>
          <w:p w14:paraId="6A7053DB" w14:textId="77777777" w:rsidR="00816961" w:rsidRPr="00F41258" w:rsidRDefault="00816961" w:rsidP="00816961">
            <w:pPr>
              <w:pStyle w:val="FlietextKfW"/>
              <w:spacing w:line="276" w:lineRule="auto"/>
              <w:ind w:right="-142"/>
              <w:jc w:val="center"/>
              <w:rPr>
                <w:rFonts w:cs="Arial"/>
                <w:color w:val="auto"/>
                <w:sz w:val="22"/>
              </w:rPr>
            </w:pPr>
            <w:r w:rsidRPr="00F41258">
              <w:rPr>
                <w:rFonts w:cs="Arial"/>
                <w:color w:val="auto"/>
                <w:sz w:val="22"/>
              </w:rPr>
              <w:t>1,6</w:t>
            </w:r>
          </w:p>
        </w:tc>
        <w:tc>
          <w:tcPr>
            <w:tcW w:w="1204" w:type="pct"/>
            <w:shd w:val="clear" w:color="auto" w:fill="auto"/>
            <w:noWrap/>
            <w:vAlign w:val="center"/>
          </w:tcPr>
          <w:p w14:paraId="724DD8EA" w14:textId="77777777" w:rsidR="00816961" w:rsidRPr="00F41258" w:rsidRDefault="00816961" w:rsidP="00816961">
            <w:pPr>
              <w:pStyle w:val="FlietextKfW"/>
              <w:spacing w:line="276" w:lineRule="auto"/>
              <w:ind w:right="-142"/>
              <w:jc w:val="center"/>
              <w:rPr>
                <w:rFonts w:cs="Arial"/>
                <w:color w:val="auto"/>
                <w:sz w:val="22"/>
              </w:rPr>
            </w:pPr>
            <w:r w:rsidRPr="00F41258">
              <w:rPr>
                <w:rFonts w:cs="Arial"/>
                <w:color w:val="auto"/>
                <w:sz w:val="22"/>
              </w:rPr>
              <w:t>1,9</w:t>
            </w:r>
          </w:p>
        </w:tc>
      </w:tr>
      <w:tr w:rsidR="00816961" w:rsidRPr="00F41258" w14:paraId="5B4BB27F" w14:textId="77777777" w:rsidTr="00380B36">
        <w:trPr>
          <w:trHeight w:val="20"/>
        </w:trPr>
        <w:tc>
          <w:tcPr>
            <w:tcW w:w="2450" w:type="pct"/>
            <w:shd w:val="clear" w:color="auto" w:fill="auto"/>
            <w:vAlign w:val="center"/>
          </w:tcPr>
          <w:p w14:paraId="7B4C0985" w14:textId="77777777" w:rsidR="00816961" w:rsidRPr="00F41258" w:rsidRDefault="00816961" w:rsidP="00380B36">
            <w:pPr>
              <w:jc w:val="left"/>
            </w:pPr>
            <w:r w:rsidRPr="00F41258">
              <w:t>Lichtbänder und Lichtkuppeln</w:t>
            </w:r>
            <w:r w:rsidRPr="00F41258">
              <w:rPr>
                <w:rStyle w:val="Funotenzeichen"/>
              </w:rPr>
              <w:t xml:space="preserve"> </w:t>
            </w:r>
          </w:p>
        </w:tc>
        <w:tc>
          <w:tcPr>
            <w:tcW w:w="1346" w:type="pct"/>
            <w:shd w:val="clear" w:color="auto" w:fill="auto"/>
            <w:noWrap/>
            <w:vAlign w:val="center"/>
          </w:tcPr>
          <w:p w14:paraId="2F16291B" w14:textId="77777777" w:rsidR="00816961" w:rsidRPr="00F41258" w:rsidRDefault="00816961" w:rsidP="00816961">
            <w:pPr>
              <w:pStyle w:val="FlietextKfW"/>
              <w:spacing w:line="276" w:lineRule="auto"/>
              <w:ind w:right="-142"/>
              <w:jc w:val="center"/>
              <w:rPr>
                <w:rFonts w:cs="Arial"/>
                <w:color w:val="auto"/>
                <w:sz w:val="22"/>
              </w:rPr>
            </w:pPr>
            <w:r w:rsidRPr="00F41258">
              <w:rPr>
                <w:rFonts w:cs="Arial"/>
                <w:color w:val="auto"/>
                <w:sz w:val="22"/>
              </w:rPr>
              <w:t>1,5</w:t>
            </w:r>
          </w:p>
        </w:tc>
        <w:tc>
          <w:tcPr>
            <w:tcW w:w="1204" w:type="pct"/>
            <w:shd w:val="clear" w:color="auto" w:fill="auto"/>
            <w:noWrap/>
            <w:vAlign w:val="center"/>
          </w:tcPr>
          <w:p w14:paraId="0033B8F8" w14:textId="77777777" w:rsidR="00816961" w:rsidRPr="00F41258" w:rsidRDefault="00816961" w:rsidP="00816961">
            <w:pPr>
              <w:pStyle w:val="FlietextKfW"/>
              <w:spacing w:line="276" w:lineRule="auto"/>
              <w:ind w:right="-142"/>
              <w:jc w:val="center"/>
              <w:rPr>
                <w:rFonts w:cs="Arial"/>
                <w:color w:val="auto"/>
                <w:sz w:val="22"/>
              </w:rPr>
            </w:pPr>
            <w:r w:rsidRPr="00F41258">
              <w:rPr>
                <w:rFonts w:cs="Arial"/>
                <w:color w:val="auto"/>
                <w:sz w:val="22"/>
              </w:rPr>
              <w:t>1,9</w:t>
            </w:r>
          </w:p>
        </w:tc>
      </w:tr>
      <w:tr w:rsidR="00816961" w:rsidRPr="00F41258" w14:paraId="6F7E4CC6" w14:textId="77777777" w:rsidTr="00380B36">
        <w:trPr>
          <w:trHeight w:val="20"/>
        </w:trPr>
        <w:tc>
          <w:tcPr>
            <w:tcW w:w="2450" w:type="pct"/>
            <w:shd w:val="clear" w:color="auto" w:fill="auto"/>
            <w:vAlign w:val="center"/>
          </w:tcPr>
          <w:p w14:paraId="020B9905" w14:textId="77777777" w:rsidR="00816961" w:rsidRPr="00F41258" w:rsidRDefault="00816961" w:rsidP="00380B36">
            <w:pPr>
              <w:jc w:val="left"/>
            </w:pPr>
            <w:r w:rsidRPr="00F41258">
              <w:t xml:space="preserve">Vorhangfassaden </w:t>
            </w:r>
            <w:r w:rsidRPr="00F41258">
              <w:rPr>
                <w:rStyle w:val="Funotenzeichen"/>
              </w:rPr>
              <w:footnoteReference w:id="3"/>
            </w:r>
          </w:p>
        </w:tc>
        <w:tc>
          <w:tcPr>
            <w:tcW w:w="1346" w:type="pct"/>
            <w:shd w:val="clear" w:color="auto" w:fill="auto"/>
            <w:noWrap/>
            <w:vAlign w:val="center"/>
          </w:tcPr>
          <w:p w14:paraId="11F9FF61" w14:textId="77777777" w:rsidR="00816961" w:rsidRPr="00F41258" w:rsidRDefault="00816961" w:rsidP="00816961">
            <w:pPr>
              <w:pStyle w:val="FlietextKfW"/>
              <w:spacing w:line="276" w:lineRule="auto"/>
              <w:ind w:right="-142"/>
              <w:jc w:val="center"/>
              <w:rPr>
                <w:rFonts w:cs="Arial"/>
                <w:color w:val="auto"/>
                <w:sz w:val="22"/>
              </w:rPr>
            </w:pPr>
            <w:r w:rsidRPr="00F41258">
              <w:rPr>
                <w:rFonts w:cs="Arial"/>
                <w:color w:val="auto"/>
                <w:sz w:val="22"/>
              </w:rPr>
              <w:t>1,3</w:t>
            </w:r>
          </w:p>
        </w:tc>
        <w:tc>
          <w:tcPr>
            <w:tcW w:w="1204" w:type="pct"/>
            <w:shd w:val="clear" w:color="auto" w:fill="auto"/>
            <w:noWrap/>
            <w:vAlign w:val="center"/>
          </w:tcPr>
          <w:p w14:paraId="3EC6E64F" w14:textId="77777777" w:rsidR="00816961" w:rsidRPr="00F41258" w:rsidRDefault="00816961" w:rsidP="00816961">
            <w:pPr>
              <w:pStyle w:val="FlietextKfW"/>
              <w:spacing w:line="276" w:lineRule="auto"/>
              <w:ind w:right="-142"/>
              <w:jc w:val="center"/>
              <w:rPr>
                <w:rFonts w:cs="Arial"/>
                <w:color w:val="auto"/>
                <w:sz w:val="22"/>
              </w:rPr>
            </w:pPr>
            <w:r w:rsidRPr="00F41258">
              <w:rPr>
                <w:rFonts w:cs="Arial"/>
                <w:color w:val="auto"/>
                <w:sz w:val="22"/>
              </w:rPr>
              <w:t>1,6</w:t>
            </w:r>
          </w:p>
        </w:tc>
      </w:tr>
      <w:tr w:rsidR="00816961" w:rsidRPr="00F41258" w14:paraId="632EBB78" w14:textId="77777777" w:rsidTr="00380B36">
        <w:trPr>
          <w:trHeight w:val="20"/>
        </w:trPr>
        <w:tc>
          <w:tcPr>
            <w:tcW w:w="2450" w:type="pct"/>
            <w:shd w:val="clear" w:color="auto" w:fill="auto"/>
            <w:vAlign w:val="center"/>
          </w:tcPr>
          <w:p w14:paraId="5B542D3B" w14:textId="77777777" w:rsidR="00816961" w:rsidRPr="00F41258" w:rsidRDefault="00816961" w:rsidP="00380B36">
            <w:pPr>
              <w:jc w:val="left"/>
            </w:pPr>
            <w:r w:rsidRPr="00F41258">
              <w:t xml:space="preserve">Außentüren beheizter Räume, Hauseingangstüren </w:t>
            </w:r>
            <w:r w:rsidRPr="00F41258">
              <w:rPr>
                <w:rStyle w:val="Funotenzeichen"/>
              </w:rPr>
              <w:footnoteReference w:id="4"/>
            </w:r>
          </w:p>
        </w:tc>
        <w:tc>
          <w:tcPr>
            <w:tcW w:w="1346" w:type="pct"/>
            <w:shd w:val="clear" w:color="auto" w:fill="auto"/>
            <w:noWrap/>
            <w:vAlign w:val="center"/>
          </w:tcPr>
          <w:p w14:paraId="47582074" w14:textId="77777777" w:rsidR="00816961" w:rsidRPr="00F41258" w:rsidRDefault="00816961" w:rsidP="00816961">
            <w:pPr>
              <w:pStyle w:val="FlietextKfW"/>
              <w:spacing w:line="276" w:lineRule="auto"/>
              <w:ind w:right="-142"/>
              <w:jc w:val="center"/>
              <w:rPr>
                <w:rFonts w:cs="Arial"/>
                <w:color w:val="auto"/>
                <w:sz w:val="22"/>
              </w:rPr>
            </w:pPr>
            <w:r w:rsidRPr="00F41258">
              <w:rPr>
                <w:rFonts w:cs="Arial"/>
                <w:color w:val="auto"/>
                <w:sz w:val="22"/>
              </w:rPr>
              <w:t>1,3</w:t>
            </w:r>
          </w:p>
        </w:tc>
        <w:tc>
          <w:tcPr>
            <w:tcW w:w="1204" w:type="pct"/>
            <w:shd w:val="clear" w:color="auto" w:fill="auto"/>
            <w:noWrap/>
            <w:vAlign w:val="center"/>
          </w:tcPr>
          <w:p w14:paraId="1AE1CAD3" w14:textId="34310CF6" w:rsidR="00816961" w:rsidRPr="00F41258" w:rsidRDefault="00326654" w:rsidP="00816961">
            <w:pPr>
              <w:pStyle w:val="FlietextKfW"/>
              <w:spacing w:line="276" w:lineRule="auto"/>
              <w:ind w:right="-142"/>
              <w:jc w:val="center"/>
              <w:rPr>
                <w:rFonts w:cs="Arial"/>
                <w:color w:val="auto"/>
                <w:sz w:val="22"/>
              </w:rPr>
            </w:pPr>
            <w:r w:rsidRPr="00F41258">
              <w:rPr>
                <w:rFonts w:cs="Arial"/>
                <w:color w:val="auto"/>
                <w:sz w:val="22"/>
              </w:rPr>
              <w:t>1,3</w:t>
            </w:r>
          </w:p>
        </w:tc>
      </w:tr>
      <w:tr w:rsidR="00816961" w:rsidRPr="00F41258" w14:paraId="1A2116F4" w14:textId="77777777" w:rsidTr="00380B36">
        <w:trPr>
          <w:trHeight w:val="20"/>
        </w:trPr>
        <w:tc>
          <w:tcPr>
            <w:tcW w:w="2450" w:type="pct"/>
            <w:tcBorders>
              <w:bottom w:val="single" w:sz="4" w:space="0" w:color="auto"/>
            </w:tcBorders>
            <w:shd w:val="clear" w:color="auto" w:fill="auto"/>
            <w:vAlign w:val="center"/>
          </w:tcPr>
          <w:p w14:paraId="12DADAFD" w14:textId="77777777" w:rsidR="00816961" w:rsidRPr="00F41258" w:rsidRDefault="00816961" w:rsidP="00380B36">
            <w:pPr>
              <w:jc w:val="left"/>
            </w:pPr>
            <w:r w:rsidRPr="00F41258">
              <w:t>Tore (nur Nichtwohngebäude)</w:t>
            </w:r>
          </w:p>
        </w:tc>
        <w:tc>
          <w:tcPr>
            <w:tcW w:w="1346" w:type="pct"/>
            <w:tcBorders>
              <w:bottom w:val="single" w:sz="4" w:space="0" w:color="auto"/>
            </w:tcBorders>
            <w:shd w:val="clear" w:color="auto" w:fill="auto"/>
            <w:noWrap/>
            <w:vAlign w:val="center"/>
          </w:tcPr>
          <w:p w14:paraId="710FE111" w14:textId="77777777" w:rsidR="00816961" w:rsidRPr="00F41258" w:rsidRDefault="00816961" w:rsidP="00816961">
            <w:pPr>
              <w:pStyle w:val="FlietextKfW"/>
              <w:spacing w:line="276" w:lineRule="auto"/>
              <w:ind w:right="-142"/>
              <w:jc w:val="center"/>
              <w:rPr>
                <w:rFonts w:cs="Arial"/>
                <w:color w:val="auto"/>
                <w:sz w:val="22"/>
              </w:rPr>
            </w:pPr>
            <w:r w:rsidRPr="00F41258">
              <w:rPr>
                <w:rFonts w:cs="Arial"/>
                <w:color w:val="auto"/>
                <w:sz w:val="22"/>
              </w:rPr>
              <w:t>1,0</w:t>
            </w:r>
          </w:p>
        </w:tc>
        <w:tc>
          <w:tcPr>
            <w:tcW w:w="1204" w:type="pct"/>
            <w:tcBorders>
              <w:bottom w:val="single" w:sz="4" w:space="0" w:color="auto"/>
            </w:tcBorders>
            <w:shd w:val="clear" w:color="auto" w:fill="auto"/>
            <w:noWrap/>
            <w:vAlign w:val="center"/>
          </w:tcPr>
          <w:p w14:paraId="093A3C1F" w14:textId="77777777" w:rsidR="00816961" w:rsidRPr="00F41258" w:rsidRDefault="00816961" w:rsidP="00816961">
            <w:pPr>
              <w:pStyle w:val="FlietextKfW"/>
              <w:spacing w:line="276" w:lineRule="auto"/>
              <w:ind w:right="-142"/>
              <w:jc w:val="center"/>
              <w:rPr>
                <w:rFonts w:cs="Arial"/>
                <w:color w:val="auto"/>
                <w:sz w:val="22"/>
              </w:rPr>
            </w:pPr>
            <w:r w:rsidRPr="00F41258">
              <w:rPr>
                <w:rFonts w:cs="Arial"/>
                <w:color w:val="auto"/>
                <w:sz w:val="22"/>
              </w:rPr>
              <w:t>2,0</w:t>
            </w:r>
          </w:p>
        </w:tc>
      </w:tr>
      <w:tr w:rsidR="00816961" w:rsidRPr="00F41258" w14:paraId="2960D263" w14:textId="77777777" w:rsidTr="00EB6174">
        <w:trPr>
          <w:trHeight w:val="878"/>
        </w:trPr>
        <w:tc>
          <w:tcPr>
            <w:tcW w:w="5000" w:type="pct"/>
            <w:gridSpan w:val="3"/>
            <w:tcBorders>
              <w:top w:val="single" w:sz="4" w:space="0" w:color="auto"/>
              <w:left w:val="none" w:sz="4" w:space="0" w:color="000000" w:themeColor="text1"/>
              <w:bottom w:val="single" w:sz="4" w:space="0" w:color="auto"/>
              <w:right w:val="none" w:sz="4" w:space="0" w:color="000000" w:themeColor="text1"/>
            </w:tcBorders>
            <w:shd w:val="clear" w:color="auto" w:fill="auto"/>
            <w:vAlign w:val="center"/>
          </w:tcPr>
          <w:p w14:paraId="027A5022" w14:textId="77777777" w:rsidR="00816961" w:rsidRPr="00F41258" w:rsidRDefault="00816961" w:rsidP="00380B36">
            <w:pPr>
              <w:jc w:val="left"/>
            </w:pPr>
            <w:r w:rsidRPr="00F41258">
              <w:t>Bauteilgruppe:</w:t>
            </w:r>
            <w:r w:rsidRPr="00F41258">
              <w:br/>
              <w:t>Dachflächen sowie Decken und Wände gegen unbeheizte Räume, Bodenflächen</w:t>
            </w:r>
          </w:p>
        </w:tc>
      </w:tr>
      <w:tr w:rsidR="00816961" w:rsidRPr="00F41258" w14:paraId="20A125B9" w14:textId="77777777" w:rsidTr="00380B36">
        <w:trPr>
          <w:trHeight w:val="20"/>
        </w:trPr>
        <w:tc>
          <w:tcPr>
            <w:tcW w:w="2450" w:type="pct"/>
            <w:tcBorders>
              <w:top w:val="single" w:sz="4" w:space="0" w:color="auto"/>
            </w:tcBorders>
            <w:shd w:val="clear" w:color="auto" w:fill="auto"/>
            <w:vAlign w:val="center"/>
          </w:tcPr>
          <w:p w14:paraId="0273F5FD" w14:textId="77777777" w:rsidR="00816961" w:rsidRPr="00F41258" w:rsidRDefault="00816961" w:rsidP="00380B36">
            <w:pPr>
              <w:jc w:val="left"/>
            </w:pPr>
            <w:r w:rsidRPr="00F41258">
              <w:t>Dachflächen von Schrägdächern und dazugehörige Kehlbalkenlagen</w:t>
            </w:r>
          </w:p>
        </w:tc>
        <w:tc>
          <w:tcPr>
            <w:tcW w:w="1346" w:type="pct"/>
            <w:tcBorders>
              <w:top w:val="single" w:sz="4" w:space="0" w:color="auto"/>
            </w:tcBorders>
            <w:shd w:val="clear" w:color="auto" w:fill="auto"/>
            <w:noWrap/>
            <w:vAlign w:val="center"/>
          </w:tcPr>
          <w:p w14:paraId="35B0A31B" w14:textId="77777777" w:rsidR="00816961" w:rsidRPr="00F41258" w:rsidRDefault="00816961" w:rsidP="00816961">
            <w:pPr>
              <w:pStyle w:val="FlietextKfW"/>
              <w:spacing w:line="276" w:lineRule="auto"/>
              <w:ind w:right="-142"/>
              <w:jc w:val="center"/>
              <w:rPr>
                <w:rFonts w:cs="Arial"/>
                <w:color w:val="auto"/>
                <w:sz w:val="22"/>
              </w:rPr>
            </w:pPr>
            <w:r w:rsidRPr="00F41258">
              <w:rPr>
                <w:rFonts w:cs="Arial"/>
                <w:color w:val="auto"/>
                <w:sz w:val="22"/>
              </w:rPr>
              <w:t>0,14</w:t>
            </w:r>
          </w:p>
        </w:tc>
        <w:tc>
          <w:tcPr>
            <w:tcW w:w="1204" w:type="pct"/>
            <w:tcBorders>
              <w:top w:val="single" w:sz="4" w:space="0" w:color="auto"/>
            </w:tcBorders>
            <w:shd w:val="clear" w:color="auto" w:fill="auto"/>
            <w:noWrap/>
            <w:vAlign w:val="center"/>
          </w:tcPr>
          <w:p w14:paraId="546E257E" w14:textId="77777777" w:rsidR="00816961" w:rsidRPr="00F41258" w:rsidRDefault="00816961" w:rsidP="00816961">
            <w:pPr>
              <w:pStyle w:val="FlietextKfW"/>
              <w:spacing w:line="276" w:lineRule="auto"/>
              <w:ind w:right="-142"/>
              <w:jc w:val="center"/>
              <w:rPr>
                <w:rFonts w:cs="Arial"/>
                <w:color w:val="auto"/>
                <w:sz w:val="22"/>
              </w:rPr>
            </w:pPr>
            <w:r w:rsidRPr="00F41258">
              <w:rPr>
                <w:rFonts w:cs="Arial"/>
                <w:color w:val="auto"/>
                <w:sz w:val="22"/>
              </w:rPr>
              <w:t>0,25</w:t>
            </w:r>
          </w:p>
        </w:tc>
      </w:tr>
      <w:tr w:rsidR="00816961" w:rsidRPr="00F41258" w14:paraId="552F7FED" w14:textId="77777777" w:rsidTr="00380B36">
        <w:trPr>
          <w:trHeight w:val="20"/>
        </w:trPr>
        <w:tc>
          <w:tcPr>
            <w:tcW w:w="2450" w:type="pct"/>
            <w:shd w:val="clear" w:color="auto" w:fill="auto"/>
            <w:vAlign w:val="center"/>
          </w:tcPr>
          <w:p w14:paraId="6130E09A" w14:textId="77777777" w:rsidR="00816961" w:rsidRPr="00F41258" w:rsidRDefault="00816961" w:rsidP="00380B36">
            <w:pPr>
              <w:jc w:val="left"/>
            </w:pPr>
            <w:r w:rsidRPr="00F41258">
              <w:t>Dachgauben</w:t>
            </w:r>
          </w:p>
        </w:tc>
        <w:tc>
          <w:tcPr>
            <w:tcW w:w="1346" w:type="pct"/>
            <w:shd w:val="clear" w:color="auto" w:fill="auto"/>
            <w:noWrap/>
            <w:vAlign w:val="center"/>
          </w:tcPr>
          <w:p w14:paraId="2B256F34" w14:textId="77777777" w:rsidR="00816961" w:rsidRPr="00F41258" w:rsidRDefault="00816961" w:rsidP="00816961">
            <w:pPr>
              <w:pStyle w:val="FlietextKfW"/>
              <w:spacing w:line="276" w:lineRule="auto"/>
              <w:ind w:right="-142"/>
              <w:jc w:val="center"/>
              <w:rPr>
                <w:rFonts w:cs="Arial"/>
                <w:color w:val="auto"/>
                <w:sz w:val="22"/>
              </w:rPr>
            </w:pPr>
            <w:r w:rsidRPr="00F41258">
              <w:rPr>
                <w:rFonts w:cs="Arial"/>
                <w:color w:val="auto"/>
                <w:sz w:val="22"/>
              </w:rPr>
              <w:t>0,20</w:t>
            </w:r>
          </w:p>
        </w:tc>
        <w:tc>
          <w:tcPr>
            <w:tcW w:w="1204" w:type="pct"/>
            <w:shd w:val="clear" w:color="auto" w:fill="auto"/>
            <w:noWrap/>
            <w:vAlign w:val="center"/>
          </w:tcPr>
          <w:p w14:paraId="5627F003" w14:textId="77777777" w:rsidR="00816961" w:rsidRPr="00F41258" w:rsidRDefault="00816961" w:rsidP="00816961">
            <w:pPr>
              <w:pStyle w:val="FlietextKfW"/>
              <w:spacing w:line="276" w:lineRule="auto"/>
              <w:ind w:right="-142"/>
              <w:jc w:val="center"/>
              <w:rPr>
                <w:rFonts w:cs="Arial"/>
                <w:color w:val="auto"/>
                <w:sz w:val="22"/>
              </w:rPr>
            </w:pPr>
            <w:r w:rsidRPr="00F41258">
              <w:rPr>
                <w:rFonts w:cs="Arial"/>
                <w:color w:val="auto"/>
                <w:sz w:val="22"/>
              </w:rPr>
              <w:t>0,25</w:t>
            </w:r>
          </w:p>
        </w:tc>
      </w:tr>
      <w:tr w:rsidR="00816961" w:rsidRPr="00F41258" w14:paraId="353EB5C3" w14:textId="77777777" w:rsidTr="00380B36">
        <w:trPr>
          <w:trHeight w:val="20"/>
        </w:trPr>
        <w:tc>
          <w:tcPr>
            <w:tcW w:w="2450" w:type="pct"/>
            <w:shd w:val="clear" w:color="auto" w:fill="auto"/>
            <w:vAlign w:val="center"/>
          </w:tcPr>
          <w:p w14:paraId="1A4B82F6" w14:textId="77777777" w:rsidR="00816961" w:rsidRPr="00F41258" w:rsidRDefault="00816961" w:rsidP="00380B36">
            <w:pPr>
              <w:jc w:val="left"/>
            </w:pPr>
            <w:r w:rsidRPr="00F41258">
              <w:t xml:space="preserve">Oberste Geschossdecken und Wände (einschließlich </w:t>
            </w:r>
            <w:proofErr w:type="spellStart"/>
            <w:r w:rsidRPr="00F41258">
              <w:t>Abseitenwände</w:t>
            </w:r>
            <w:proofErr w:type="spellEnd"/>
            <w:r w:rsidRPr="00F41258">
              <w:t>) gegen unbeheizte Dachräume</w:t>
            </w:r>
          </w:p>
        </w:tc>
        <w:tc>
          <w:tcPr>
            <w:tcW w:w="1346" w:type="pct"/>
            <w:shd w:val="clear" w:color="auto" w:fill="auto"/>
            <w:noWrap/>
            <w:vAlign w:val="center"/>
          </w:tcPr>
          <w:p w14:paraId="5DEBE55E" w14:textId="77777777" w:rsidR="00816961" w:rsidRPr="00F41258" w:rsidRDefault="00816961" w:rsidP="00816961">
            <w:pPr>
              <w:pStyle w:val="FlietextKfW"/>
              <w:spacing w:line="276" w:lineRule="auto"/>
              <w:ind w:right="-142"/>
              <w:jc w:val="center"/>
              <w:rPr>
                <w:rFonts w:cs="Arial"/>
                <w:color w:val="auto"/>
                <w:sz w:val="22"/>
              </w:rPr>
            </w:pPr>
            <w:r w:rsidRPr="00F41258">
              <w:rPr>
                <w:rFonts w:cs="Arial"/>
                <w:color w:val="auto"/>
                <w:sz w:val="22"/>
              </w:rPr>
              <w:t>0,14</w:t>
            </w:r>
          </w:p>
        </w:tc>
        <w:tc>
          <w:tcPr>
            <w:tcW w:w="1204" w:type="pct"/>
            <w:shd w:val="clear" w:color="auto" w:fill="auto"/>
            <w:noWrap/>
            <w:vAlign w:val="center"/>
          </w:tcPr>
          <w:p w14:paraId="3DCB245C" w14:textId="77777777" w:rsidR="00816961" w:rsidRPr="00F41258" w:rsidRDefault="00816961" w:rsidP="00816961">
            <w:pPr>
              <w:pStyle w:val="FlietextKfW"/>
              <w:spacing w:line="276" w:lineRule="auto"/>
              <w:ind w:right="-142"/>
              <w:jc w:val="center"/>
              <w:rPr>
                <w:rFonts w:cs="Arial"/>
                <w:color w:val="auto"/>
                <w:sz w:val="22"/>
              </w:rPr>
            </w:pPr>
            <w:r w:rsidRPr="00F41258">
              <w:rPr>
                <w:rFonts w:cs="Arial"/>
                <w:color w:val="auto"/>
                <w:sz w:val="22"/>
              </w:rPr>
              <w:t>0,25</w:t>
            </w:r>
          </w:p>
        </w:tc>
      </w:tr>
      <w:tr w:rsidR="00816961" w:rsidRPr="00F41258" w14:paraId="21930E05" w14:textId="77777777" w:rsidTr="00380B36">
        <w:trPr>
          <w:trHeight w:val="20"/>
        </w:trPr>
        <w:tc>
          <w:tcPr>
            <w:tcW w:w="2450" w:type="pct"/>
            <w:shd w:val="clear" w:color="auto" w:fill="auto"/>
            <w:vAlign w:val="center"/>
          </w:tcPr>
          <w:p w14:paraId="41CFD999" w14:textId="77777777" w:rsidR="00816961" w:rsidRPr="00F41258" w:rsidRDefault="00816961" w:rsidP="00380B36">
            <w:pPr>
              <w:jc w:val="left"/>
            </w:pPr>
            <w:r w:rsidRPr="00F41258">
              <w:t>Flachdächer und Dachflächen mit Abdichtung</w:t>
            </w:r>
          </w:p>
        </w:tc>
        <w:tc>
          <w:tcPr>
            <w:tcW w:w="1346" w:type="pct"/>
            <w:shd w:val="clear" w:color="auto" w:fill="auto"/>
            <w:noWrap/>
            <w:vAlign w:val="center"/>
          </w:tcPr>
          <w:p w14:paraId="5DDBA1AA" w14:textId="77777777" w:rsidR="00816961" w:rsidRPr="00F41258" w:rsidRDefault="00816961" w:rsidP="00816961">
            <w:pPr>
              <w:pStyle w:val="FlietextKfW"/>
              <w:spacing w:line="276" w:lineRule="auto"/>
              <w:ind w:right="-142"/>
              <w:jc w:val="center"/>
              <w:rPr>
                <w:rFonts w:cs="Arial"/>
                <w:color w:val="auto"/>
                <w:sz w:val="22"/>
              </w:rPr>
            </w:pPr>
            <w:r w:rsidRPr="00F41258">
              <w:rPr>
                <w:rFonts w:cs="Arial"/>
                <w:color w:val="auto"/>
                <w:sz w:val="22"/>
              </w:rPr>
              <w:t>0,14</w:t>
            </w:r>
          </w:p>
        </w:tc>
        <w:tc>
          <w:tcPr>
            <w:tcW w:w="1204" w:type="pct"/>
            <w:shd w:val="clear" w:color="auto" w:fill="auto"/>
            <w:noWrap/>
            <w:vAlign w:val="center"/>
          </w:tcPr>
          <w:p w14:paraId="4DD5E3DA" w14:textId="77777777" w:rsidR="00816961" w:rsidRPr="00F41258" w:rsidRDefault="00816961" w:rsidP="00816961">
            <w:pPr>
              <w:pStyle w:val="FlietextKfW"/>
              <w:spacing w:line="276" w:lineRule="auto"/>
              <w:ind w:right="-142"/>
              <w:jc w:val="center"/>
              <w:rPr>
                <w:rFonts w:cs="Arial"/>
                <w:color w:val="auto"/>
                <w:sz w:val="22"/>
              </w:rPr>
            </w:pPr>
            <w:r w:rsidRPr="00F41258">
              <w:rPr>
                <w:rFonts w:cs="Arial"/>
                <w:color w:val="auto"/>
                <w:sz w:val="22"/>
              </w:rPr>
              <w:t>0,20</w:t>
            </w:r>
          </w:p>
        </w:tc>
      </w:tr>
      <w:tr w:rsidR="00816961" w:rsidRPr="00F41258" w14:paraId="4125999B" w14:textId="77777777" w:rsidTr="00380B36">
        <w:trPr>
          <w:trHeight w:val="20"/>
        </w:trPr>
        <w:tc>
          <w:tcPr>
            <w:tcW w:w="2450" w:type="pct"/>
            <w:shd w:val="clear" w:color="auto" w:fill="auto"/>
            <w:vAlign w:val="center"/>
          </w:tcPr>
          <w:p w14:paraId="218D97E8" w14:textId="77777777" w:rsidR="00816961" w:rsidRPr="00F41258" w:rsidRDefault="00816961" w:rsidP="00380B36">
            <w:pPr>
              <w:jc w:val="left"/>
              <w:rPr>
                <w:lang w:eastAsia="de-DE"/>
              </w:rPr>
            </w:pPr>
            <w:r w:rsidRPr="00F41258">
              <w:t>Dachflächen bei Baudenkmalen für alle Gebäude und bei sonstiger besonders erhaltenswerter Bausubstanz nur für Wohngebäude höchstmögliche Dämmstoffdicke (Flachdächer, Schrägdächer sowie dazugehörige Kehlbalkenlagen, Dachgauben oder oberste Geschossdecken)</w:t>
            </w:r>
            <w:r w:rsidRPr="00F41258">
              <w:rPr>
                <w:lang w:eastAsia="de-DE"/>
              </w:rPr>
              <w:t xml:space="preserve"> </w:t>
            </w:r>
          </w:p>
        </w:tc>
        <w:tc>
          <w:tcPr>
            <w:tcW w:w="1346" w:type="pct"/>
            <w:shd w:val="clear" w:color="auto" w:fill="auto"/>
            <w:vAlign w:val="center"/>
          </w:tcPr>
          <w:p w14:paraId="50095AB3" w14:textId="77777777" w:rsidR="00816961" w:rsidRPr="00F41258" w:rsidRDefault="00816961" w:rsidP="00816961">
            <w:r w:rsidRPr="00F41258">
              <w:t>λ ≤ 0,040 W/(</w:t>
            </w:r>
            <w:proofErr w:type="spellStart"/>
            <w:r w:rsidRPr="00F41258">
              <w:t>m·K</w:t>
            </w:r>
            <w:proofErr w:type="spellEnd"/>
            <w:r w:rsidRPr="00F41258">
              <w:t>)</w:t>
            </w:r>
          </w:p>
        </w:tc>
        <w:tc>
          <w:tcPr>
            <w:tcW w:w="1204" w:type="pct"/>
            <w:shd w:val="clear" w:color="auto" w:fill="auto"/>
            <w:vAlign w:val="center"/>
          </w:tcPr>
          <w:p w14:paraId="11E96071" w14:textId="77777777" w:rsidR="00816961" w:rsidRPr="00F41258" w:rsidRDefault="00816961" w:rsidP="00816961">
            <w:r w:rsidRPr="00F41258">
              <w:t>λ ≤ 0,040 W/(</w:t>
            </w:r>
            <w:proofErr w:type="spellStart"/>
            <w:r w:rsidRPr="00F41258">
              <w:t>m·K</w:t>
            </w:r>
            <w:proofErr w:type="spellEnd"/>
            <w:r w:rsidRPr="00F41258">
              <w:t>)</w:t>
            </w:r>
          </w:p>
        </w:tc>
      </w:tr>
      <w:tr w:rsidR="00816961" w:rsidRPr="00F41258" w14:paraId="1D5B4D91" w14:textId="77777777" w:rsidTr="00380B36">
        <w:trPr>
          <w:trHeight w:val="20"/>
        </w:trPr>
        <w:tc>
          <w:tcPr>
            <w:tcW w:w="2450" w:type="pct"/>
            <w:shd w:val="clear" w:color="auto" w:fill="auto"/>
            <w:vAlign w:val="center"/>
          </w:tcPr>
          <w:p w14:paraId="5A829EE2" w14:textId="77777777" w:rsidR="00816961" w:rsidRPr="00F41258" w:rsidRDefault="00816961" w:rsidP="00380B36">
            <w:pPr>
              <w:jc w:val="left"/>
            </w:pPr>
            <w:r w:rsidRPr="00F41258">
              <w:lastRenderedPageBreak/>
              <w:t xml:space="preserve">Wände gegen Erdreich </w:t>
            </w:r>
            <w:r w:rsidRPr="00F41258">
              <w:br/>
              <w:t>oder unbeheizte Räume sowie Kellerräume</w:t>
            </w:r>
          </w:p>
        </w:tc>
        <w:tc>
          <w:tcPr>
            <w:tcW w:w="1346" w:type="pct"/>
            <w:shd w:val="clear" w:color="auto" w:fill="auto"/>
            <w:noWrap/>
            <w:vAlign w:val="center"/>
          </w:tcPr>
          <w:p w14:paraId="60161A31" w14:textId="77777777" w:rsidR="00816961" w:rsidRPr="00F41258" w:rsidRDefault="00816961" w:rsidP="00816961">
            <w:pPr>
              <w:pStyle w:val="FlietextKfW"/>
              <w:spacing w:line="276" w:lineRule="auto"/>
              <w:ind w:right="-142"/>
              <w:jc w:val="center"/>
              <w:rPr>
                <w:rFonts w:cs="Arial"/>
                <w:color w:val="auto"/>
                <w:sz w:val="22"/>
              </w:rPr>
            </w:pPr>
            <w:r w:rsidRPr="00F41258">
              <w:rPr>
                <w:rFonts w:cs="Arial"/>
                <w:color w:val="auto"/>
                <w:sz w:val="22"/>
              </w:rPr>
              <w:t>0,25</w:t>
            </w:r>
          </w:p>
        </w:tc>
        <w:tc>
          <w:tcPr>
            <w:tcW w:w="1204" w:type="pct"/>
            <w:shd w:val="clear" w:color="auto" w:fill="auto"/>
            <w:noWrap/>
            <w:vAlign w:val="center"/>
          </w:tcPr>
          <w:p w14:paraId="4AF7BEB0" w14:textId="77777777" w:rsidR="00816961" w:rsidRPr="00F41258" w:rsidRDefault="00816961" w:rsidP="00816961">
            <w:pPr>
              <w:pStyle w:val="FlietextKfW"/>
              <w:spacing w:line="276" w:lineRule="auto"/>
              <w:ind w:right="-142"/>
              <w:jc w:val="center"/>
              <w:rPr>
                <w:rFonts w:cs="Arial"/>
                <w:color w:val="auto"/>
                <w:sz w:val="22"/>
              </w:rPr>
            </w:pPr>
            <w:r w:rsidRPr="00F41258">
              <w:rPr>
                <w:rFonts w:cs="Arial"/>
                <w:color w:val="auto"/>
                <w:sz w:val="22"/>
              </w:rPr>
              <w:t>0,25</w:t>
            </w:r>
          </w:p>
        </w:tc>
      </w:tr>
      <w:tr w:rsidR="00816961" w:rsidRPr="00F41258" w14:paraId="16773D10" w14:textId="77777777" w:rsidTr="00380B36">
        <w:trPr>
          <w:trHeight w:val="20"/>
        </w:trPr>
        <w:tc>
          <w:tcPr>
            <w:tcW w:w="2450" w:type="pct"/>
            <w:shd w:val="clear" w:color="auto" w:fill="auto"/>
            <w:vAlign w:val="center"/>
          </w:tcPr>
          <w:p w14:paraId="52BB6F2B" w14:textId="77777777" w:rsidR="00816961" w:rsidRPr="00F41258" w:rsidRDefault="00816961" w:rsidP="00380B36">
            <w:pPr>
              <w:jc w:val="left"/>
            </w:pPr>
            <w:r w:rsidRPr="00F41258">
              <w:t>Decken gegen unbeheizte Räume sowie Kellerdecken</w:t>
            </w:r>
          </w:p>
        </w:tc>
        <w:tc>
          <w:tcPr>
            <w:tcW w:w="1346" w:type="pct"/>
            <w:shd w:val="clear" w:color="auto" w:fill="auto"/>
            <w:noWrap/>
            <w:vAlign w:val="center"/>
          </w:tcPr>
          <w:p w14:paraId="7BA4A700" w14:textId="77777777" w:rsidR="00816961" w:rsidRPr="00F41258" w:rsidRDefault="00816961" w:rsidP="00816961">
            <w:pPr>
              <w:pStyle w:val="FlietextKfW"/>
              <w:spacing w:line="276" w:lineRule="auto"/>
              <w:ind w:right="-142"/>
              <w:jc w:val="center"/>
              <w:rPr>
                <w:rFonts w:cs="Arial"/>
                <w:color w:val="auto"/>
                <w:sz w:val="22"/>
              </w:rPr>
            </w:pPr>
            <w:r w:rsidRPr="00F41258">
              <w:rPr>
                <w:rFonts w:cs="Arial"/>
                <w:color w:val="auto"/>
                <w:sz w:val="22"/>
              </w:rPr>
              <w:t>0,25</w:t>
            </w:r>
          </w:p>
        </w:tc>
        <w:tc>
          <w:tcPr>
            <w:tcW w:w="1204" w:type="pct"/>
            <w:shd w:val="clear" w:color="auto" w:fill="auto"/>
            <w:noWrap/>
            <w:vAlign w:val="center"/>
          </w:tcPr>
          <w:p w14:paraId="76A797CB" w14:textId="77777777" w:rsidR="00816961" w:rsidRPr="00F41258" w:rsidRDefault="00816961" w:rsidP="00816961">
            <w:pPr>
              <w:pStyle w:val="FlietextKfW"/>
              <w:spacing w:line="276" w:lineRule="auto"/>
              <w:ind w:right="-142"/>
              <w:jc w:val="center"/>
              <w:rPr>
                <w:rFonts w:cs="Arial"/>
                <w:color w:val="auto"/>
                <w:sz w:val="22"/>
              </w:rPr>
            </w:pPr>
            <w:r w:rsidRPr="00F41258">
              <w:rPr>
                <w:rFonts w:cs="Arial"/>
                <w:color w:val="auto"/>
                <w:sz w:val="22"/>
              </w:rPr>
              <w:t>0,25</w:t>
            </w:r>
          </w:p>
        </w:tc>
      </w:tr>
      <w:tr w:rsidR="00816961" w:rsidRPr="00F41258" w14:paraId="2D840353" w14:textId="77777777" w:rsidTr="00380B36">
        <w:trPr>
          <w:trHeight w:val="20"/>
        </w:trPr>
        <w:tc>
          <w:tcPr>
            <w:tcW w:w="2450" w:type="pct"/>
            <w:shd w:val="clear" w:color="auto" w:fill="auto"/>
            <w:vAlign w:val="center"/>
          </w:tcPr>
          <w:p w14:paraId="776E3B18" w14:textId="77777777" w:rsidR="00816961" w:rsidRPr="00F41258" w:rsidRDefault="00816961" w:rsidP="00380B36">
            <w:pPr>
              <w:jc w:val="left"/>
            </w:pPr>
            <w:r w:rsidRPr="00F41258">
              <w:t>Geschossdecken gegen Außenluft von unten</w:t>
            </w:r>
          </w:p>
        </w:tc>
        <w:tc>
          <w:tcPr>
            <w:tcW w:w="1346" w:type="pct"/>
            <w:shd w:val="clear" w:color="auto" w:fill="auto"/>
            <w:noWrap/>
            <w:vAlign w:val="center"/>
          </w:tcPr>
          <w:p w14:paraId="5ADDEEF8" w14:textId="77777777" w:rsidR="00816961" w:rsidRPr="00F41258" w:rsidRDefault="00816961" w:rsidP="00816961">
            <w:pPr>
              <w:pStyle w:val="FlietextKfW"/>
              <w:spacing w:line="276" w:lineRule="auto"/>
              <w:ind w:right="-142"/>
              <w:jc w:val="center"/>
              <w:rPr>
                <w:rFonts w:cs="Arial"/>
                <w:color w:val="auto"/>
                <w:sz w:val="22"/>
              </w:rPr>
            </w:pPr>
            <w:r w:rsidRPr="00F41258">
              <w:rPr>
                <w:rFonts w:cs="Arial"/>
                <w:color w:val="auto"/>
                <w:sz w:val="22"/>
              </w:rPr>
              <w:t>0,20</w:t>
            </w:r>
          </w:p>
        </w:tc>
        <w:tc>
          <w:tcPr>
            <w:tcW w:w="1204" w:type="pct"/>
            <w:shd w:val="clear" w:color="auto" w:fill="auto"/>
            <w:noWrap/>
            <w:vAlign w:val="center"/>
          </w:tcPr>
          <w:p w14:paraId="0F2585A0" w14:textId="77777777" w:rsidR="00816961" w:rsidRPr="00F41258" w:rsidRDefault="00816961" w:rsidP="00816961">
            <w:pPr>
              <w:pStyle w:val="FlietextKfW"/>
              <w:spacing w:line="276" w:lineRule="auto"/>
              <w:ind w:right="-142"/>
              <w:jc w:val="center"/>
              <w:rPr>
                <w:rFonts w:cs="Arial"/>
                <w:color w:val="auto"/>
                <w:sz w:val="22"/>
              </w:rPr>
            </w:pPr>
            <w:r w:rsidRPr="00F41258">
              <w:rPr>
                <w:rFonts w:cs="Arial"/>
                <w:color w:val="auto"/>
                <w:sz w:val="22"/>
              </w:rPr>
              <w:t>0,25</w:t>
            </w:r>
          </w:p>
        </w:tc>
      </w:tr>
      <w:tr w:rsidR="00816961" w:rsidRPr="00F41258" w14:paraId="165C20AD" w14:textId="77777777" w:rsidTr="00380B36">
        <w:trPr>
          <w:trHeight w:val="20"/>
        </w:trPr>
        <w:tc>
          <w:tcPr>
            <w:tcW w:w="2450" w:type="pct"/>
            <w:shd w:val="clear" w:color="auto" w:fill="auto"/>
            <w:vAlign w:val="center"/>
          </w:tcPr>
          <w:p w14:paraId="3C804378" w14:textId="77777777" w:rsidR="00816961" w:rsidRPr="00F41258" w:rsidRDefault="00816961" w:rsidP="00380B36">
            <w:pPr>
              <w:jc w:val="left"/>
            </w:pPr>
            <w:r w:rsidRPr="00F41258">
              <w:t>Bodenflächen gegen Erdreich</w:t>
            </w:r>
          </w:p>
        </w:tc>
        <w:tc>
          <w:tcPr>
            <w:tcW w:w="1346" w:type="pct"/>
            <w:shd w:val="clear" w:color="auto" w:fill="auto"/>
            <w:noWrap/>
            <w:vAlign w:val="center"/>
          </w:tcPr>
          <w:p w14:paraId="1FA934E7" w14:textId="77777777" w:rsidR="00816961" w:rsidRPr="00F41258" w:rsidRDefault="00816961" w:rsidP="00816961">
            <w:pPr>
              <w:pStyle w:val="FlietextKfW"/>
              <w:spacing w:line="276" w:lineRule="auto"/>
              <w:ind w:right="-142"/>
              <w:jc w:val="center"/>
              <w:rPr>
                <w:rFonts w:cs="Arial"/>
                <w:color w:val="auto"/>
                <w:sz w:val="22"/>
              </w:rPr>
            </w:pPr>
            <w:r w:rsidRPr="00F41258">
              <w:rPr>
                <w:rFonts w:cs="Arial"/>
                <w:color w:val="auto"/>
                <w:sz w:val="22"/>
              </w:rPr>
              <w:t>0,25</w:t>
            </w:r>
          </w:p>
        </w:tc>
        <w:tc>
          <w:tcPr>
            <w:tcW w:w="1204" w:type="pct"/>
            <w:shd w:val="clear" w:color="auto" w:fill="auto"/>
            <w:noWrap/>
            <w:vAlign w:val="center"/>
          </w:tcPr>
          <w:p w14:paraId="395F4162" w14:textId="77777777" w:rsidR="00816961" w:rsidRPr="00F41258" w:rsidRDefault="00816961" w:rsidP="00816961">
            <w:pPr>
              <w:pStyle w:val="FlietextKfW"/>
              <w:spacing w:line="276" w:lineRule="auto"/>
              <w:ind w:right="-142"/>
              <w:jc w:val="center"/>
              <w:rPr>
                <w:rFonts w:cs="Arial"/>
                <w:color w:val="auto"/>
                <w:sz w:val="22"/>
              </w:rPr>
            </w:pPr>
            <w:r w:rsidRPr="00F41258">
              <w:rPr>
                <w:rFonts w:cs="Arial"/>
                <w:color w:val="auto"/>
                <w:sz w:val="22"/>
              </w:rPr>
              <w:t>0,25</w:t>
            </w:r>
          </w:p>
        </w:tc>
      </w:tr>
      <w:tr w:rsidR="00816961" w:rsidRPr="00F41258" w14:paraId="1546608B" w14:textId="77777777" w:rsidTr="00380B36">
        <w:trPr>
          <w:trHeight w:val="20"/>
        </w:trPr>
        <w:tc>
          <w:tcPr>
            <w:tcW w:w="2450" w:type="pct"/>
            <w:shd w:val="clear" w:color="auto" w:fill="auto"/>
            <w:vAlign w:val="center"/>
          </w:tcPr>
          <w:p w14:paraId="675E38AE" w14:textId="77777777" w:rsidR="00816961" w:rsidRPr="00F41258" w:rsidRDefault="00816961" w:rsidP="00380B36">
            <w:pPr>
              <w:jc w:val="left"/>
            </w:pPr>
            <w:r w:rsidRPr="00F41258">
              <w:t xml:space="preserve">Neuer Fußbodenaufbau bei bestehenden Bodenflächen gegen Erdreich (nur NWG) </w:t>
            </w:r>
          </w:p>
        </w:tc>
        <w:tc>
          <w:tcPr>
            <w:tcW w:w="1346" w:type="pct"/>
            <w:shd w:val="clear" w:color="auto" w:fill="auto"/>
            <w:noWrap/>
            <w:vAlign w:val="center"/>
          </w:tcPr>
          <w:p w14:paraId="24B14F04" w14:textId="77777777" w:rsidR="00816961" w:rsidRPr="00F41258" w:rsidRDefault="00816961" w:rsidP="00816961">
            <w:pPr>
              <w:pStyle w:val="FlietextKfW"/>
              <w:spacing w:line="276" w:lineRule="auto"/>
              <w:ind w:right="-142"/>
              <w:jc w:val="center"/>
              <w:rPr>
                <w:rFonts w:cs="Arial"/>
                <w:color w:val="auto"/>
                <w:sz w:val="22"/>
              </w:rPr>
            </w:pPr>
            <w:r w:rsidRPr="00F41258">
              <w:rPr>
                <w:rFonts w:cs="Arial"/>
                <w:color w:val="auto"/>
                <w:sz w:val="22"/>
              </w:rPr>
              <w:t>0,35</w:t>
            </w:r>
          </w:p>
        </w:tc>
        <w:tc>
          <w:tcPr>
            <w:tcW w:w="1204" w:type="pct"/>
            <w:shd w:val="clear" w:color="auto" w:fill="auto"/>
            <w:noWrap/>
            <w:vAlign w:val="center"/>
          </w:tcPr>
          <w:p w14:paraId="41312432" w14:textId="77777777" w:rsidR="00816961" w:rsidRPr="00F41258" w:rsidRDefault="00816961" w:rsidP="00816961">
            <w:pPr>
              <w:pStyle w:val="FlietextKfW"/>
              <w:spacing w:line="276" w:lineRule="auto"/>
              <w:ind w:right="-142"/>
              <w:jc w:val="center"/>
              <w:rPr>
                <w:rFonts w:cs="Arial"/>
                <w:color w:val="auto"/>
                <w:sz w:val="22"/>
              </w:rPr>
            </w:pPr>
            <w:r w:rsidRPr="00F41258">
              <w:rPr>
                <w:rFonts w:cs="Arial"/>
                <w:color w:val="auto"/>
                <w:sz w:val="22"/>
              </w:rPr>
              <w:t>0,35</w:t>
            </w:r>
          </w:p>
        </w:tc>
      </w:tr>
    </w:tbl>
    <w:p w14:paraId="47F267D2" w14:textId="77777777" w:rsidR="00232CB1" w:rsidRPr="00F41258" w:rsidRDefault="00232CB1" w:rsidP="00583FF0"/>
    <w:p w14:paraId="3985CD63" w14:textId="7FBB6BCC" w:rsidR="00232CB1" w:rsidRPr="00F41258" w:rsidRDefault="00232CB1" w:rsidP="00583FF0">
      <w:r w:rsidRPr="00F41258">
        <w:t>Sonderverglasungen sind die in Fußnote 4 der Tabelle aus Anlage 7 des GEG beschriebenen Verglasungen zum Schallschutz, Brandschutz sowie Durchschusshemmung, Durchbruchhemmung oder Sprengwirkungshemmung, die aufgrund von Vorschriften der Landesbauordnung oder anderer Vorschriften für den bestimmungsgemäßen Betrieb eines Gebäudes einzubauen sind.</w:t>
      </w:r>
    </w:p>
    <w:p w14:paraId="5D253098" w14:textId="77777777" w:rsidR="00232CB1" w:rsidRPr="00F41258" w:rsidRDefault="00232CB1" w:rsidP="00583FF0">
      <w:r w:rsidRPr="00F41258">
        <w:t xml:space="preserve">Bei der Erneuerung barrierearmer Fenster, Balkon- und Terrassentüren müssen diese mit einem geringen Kraftaufwand bedient werden können. Beim Ver- und Entriegeln der Fenster muss das Drehmoment am Fenstergriff kleiner als 5 </w:t>
      </w:r>
      <w:proofErr w:type="spellStart"/>
      <w:r w:rsidRPr="00F41258">
        <w:t>Nm</w:t>
      </w:r>
      <w:proofErr w:type="spellEnd"/>
      <w:r w:rsidRPr="00F41258">
        <w:t xml:space="preserve"> und die auf das Hebelende aufgebrachte Kraft kleiner 30 N sein. Die Fenstergriffe dürfen nicht höher als 1,05 m über dem Fußboden angeordnet sein. Ist dies baustrukturell nicht möglich, sind automatische Öffnungs- und Schließsysteme förderfähig. Bei Balkon- und Terrassentüren darf die untere Schwelle eine Höhe von 2,0 cm nicht überschreiten.</w:t>
      </w:r>
    </w:p>
    <w:p w14:paraId="76C62B0E" w14:textId="77777777" w:rsidR="00232CB1" w:rsidRPr="00F41258" w:rsidRDefault="00232CB1" w:rsidP="00583FF0">
      <w:r w:rsidRPr="00F41258">
        <w:t>Beim Einbau einbruchhemmender Fenster, Balkon- und Terrassentüren müssen diese die Widerstandsklasse RC2 nach DIN EN 1627 oder besser aufweisen (auch ohne Nachweis über die Berücksichtigung der Festigkeit und Ausführung der umgebenden Wände).</w:t>
      </w:r>
    </w:p>
    <w:p w14:paraId="2B6EB13F" w14:textId="77777777" w:rsidR="00232CB1" w:rsidRPr="00F41258" w:rsidRDefault="00232CB1" w:rsidP="00583FF0">
      <w:r w:rsidRPr="00F41258">
        <w:t>Für Bauteile von Gebäuden mit Auflagen des Denkmalschutzes im Sinne des § 105 GEG (Wohn- und Nichtwohngebäude) sowie bei sonstiger besonders erhaltenswerter Bausubstanz bei Wohngebäuden gelten jeweils angepasste Anforderungswerte gemäß der obenstehenden Tabelle.</w:t>
      </w:r>
    </w:p>
    <w:p w14:paraId="50928CC9" w14:textId="23EDCB69" w:rsidR="00232CB1" w:rsidRPr="00F41258" w:rsidRDefault="00232CB1" w:rsidP="00EB6174">
      <w:pPr>
        <w:pStyle w:val="berschrift3"/>
      </w:pPr>
      <w:bookmarkStart w:id="170" w:name="_Toc144908042"/>
      <w:r w:rsidRPr="00F41258">
        <w:t>Nachweise</w:t>
      </w:r>
      <w:bookmarkEnd w:id="170"/>
    </w:p>
    <w:p w14:paraId="212FDF20" w14:textId="5A758585" w:rsidR="00232CB1" w:rsidRPr="00F41258" w:rsidRDefault="00232CB1" w:rsidP="009B6F99">
      <w:pPr>
        <w:pStyle w:val="Listenabsatz"/>
        <w:numPr>
          <w:ilvl w:val="0"/>
          <w:numId w:val="15"/>
        </w:numPr>
        <w:rPr>
          <w:rStyle w:val="Kommentarzeichen"/>
          <w:sz w:val="22"/>
          <w:szCs w:val="22"/>
        </w:rPr>
      </w:pPr>
      <w:r w:rsidRPr="00F41258">
        <w:t>Nachweise für die wärmebrückenreduzierte und luftdichte Ausführung.</w:t>
      </w:r>
    </w:p>
    <w:p w14:paraId="448F9BE0" w14:textId="1962916A" w:rsidR="00232CB1" w:rsidRPr="00F41258" w:rsidRDefault="00232CB1" w:rsidP="009B6F99">
      <w:pPr>
        <w:pStyle w:val="Listenabsatz"/>
        <w:numPr>
          <w:ilvl w:val="0"/>
          <w:numId w:val="15"/>
        </w:numPr>
      </w:pPr>
      <w:r w:rsidRPr="00F41258">
        <w:lastRenderedPageBreak/>
        <w:t>Bei Sanierungsmaßnahmen, welche die Luftdichtheit des Gebäudes erhöhen: Lüftungskonzept, über die Notwendigkeit lüftungstechnischer Maßnahmen (</w:t>
      </w:r>
      <w:r w:rsidR="00AD224D" w:rsidRPr="00F41258">
        <w:t>z. B.</w:t>
      </w:r>
      <w:r w:rsidRPr="00F41258">
        <w:t xml:space="preserve"> unter Anwendung der DIN 1946-6) </w:t>
      </w:r>
    </w:p>
    <w:p w14:paraId="545BC4A1" w14:textId="394269D5" w:rsidR="00232CB1" w:rsidRPr="00F41258" w:rsidRDefault="00232CB1" w:rsidP="009B6F99">
      <w:pPr>
        <w:pStyle w:val="Listenabsatz"/>
        <w:numPr>
          <w:ilvl w:val="0"/>
          <w:numId w:val="15"/>
        </w:numPr>
      </w:pPr>
      <w:r w:rsidRPr="00F41258">
        <w:t>Bestätigung</w:t>
      </w:r>
      <w:r w:rsidR="00C11498" w:rsidRPr="00F41258">
        <w:t xml:space="preserve"> und Dokumentation</w:t>
      </w:r>
      <w:r w:rsidRPr="00F41258">
        <w:t xml:space="preserve"> zum Aufbau und der Art der Dämmung, bzw. bei Fenstern und Türen Bestätigung der Einhaltung der Anforderungen an die U-Werte, und zum wärmebrückenminimierten und luftdichten Einbau</w:t>
      </w:r>
    </w:p>
    <w:p w14:paraId="5F932FAD" w14:textId="59ADEDD4" w:rsidR="00232CB1" w:rsidRPr="00F41258" w:rsidRDefault="00232CB1" w:rsidP="009B6F99">
      <w:pPr>
        <w:pStyle w:val="Listenabsatz"/>
        <w:numPr>
          <w:ilvl w:val="0"/>
          <w:numId w:val="15"/>
        </w:numPr>
      </w:pPr>
      <w:r w:rsidRPr="00F41258">
        <w:t>Herstellernachweise der energetischen Eigenschaften, insbesondere bei Dämmmaßnahmen zu den Bemessungswerten der Wärmeleitfähigkeit der verbauten Materialien bzw. den U-Werten bei Fenstern/Türen/Toren</w:t>
      </w:r>
    </w:p>
    <w:p w14:paraId="2C98DBDC" w14:textId="08838A77" w:rsidR="00232CB1" w:rsidRPr="00F41258" w:rsidRDefault="00232CB1" w:rsidP="009B6F99">
      <w:pPr>
        <w:pStyle w:val="Listenabsatz"/>
        <w:numPr>
          <w:ilvl w:val="0"/>
          <w:numId w:val="15"/>
        </w:numPr>
      </w:pPr>
      <w:r w:rsidRPr="00F41258">
        <w:t>Vorhabenbezogene Rechnungen und Nachweise über die geleisteten Zahlungen, Aufstellung der förderfähigen Investitionsmaßnahmen und -kosten</w:t>
      </w:r>
    </w:p>
    <w:p w14:paraId="7F3762DB" w14:textId="4C1233DA" w:rsidR="00232CB1" w:rsidRPr="00F41258" w:rsidRDefault="00232CB1" w:rsidP="00583FF0">
      <w:pPr>
        <w:pStyle w:val="berschrift2"/>
      </w:pPr>
      <w:bookmarkStart w:id="171" w:name="_Toc112915711"/>
      <w:bookmarkStart w:id="172" w:name="_Toc144908043"/>
      <w:r w:rsidRPr="00F41258">
        <w:t>Sommerlicher Wärmeschutz</w:t>
      </w:r>
      <w:bookmarkEnd w:id="171"/>
      <w:bookmarkEnd w:id="172"/>
    </w:p>
    <w:p w14:paraId="0AD866E5" w14:textId="29511CF6" w:rsidR="00232CB1" w:rsidRPr="00F41258" w:rsidRDefault="00232CB1" w:rsidP="00583FF0">
      <w:r w:rsidRPr="00F41258">
        <w:t xml:space="preserve">Gefördert wird der Ersatz oder erstmalige Einbau von außenliegenden Sonnenschutzeinrichtungen mit optimierter Tageslichtversorgung </w:t>
      </w:r>
      <w:r w:rsidR="00AD224D" w:rsidRPr="00F41258">
        <w:t>z. B.</w:t>
      </w:r>
      <w:r w:rsidRPr="00F41258">
        <w:t xml:space="preserve"> über Lichtlenksysteme oder strahlungsabhängige Steuerung. </w:t>
      </w:r>
    </w:p>
    <w:p w14:paraId="2AF01212" w14:textId="01221EE1" w:rsidR="00232CB1" w:rsidRPr="00F41258" w:rsidRDefault="00232CB1" w:rsidP="00EB6174">
      <w:pPr>
        <w:pStyle w:val="berschrift3"/>
      </w:pPr>
      <w:bookmarkStart w:id="173" w:name="_Toc144908044"/>
      <w:r w:rsidRPr="00F41258">
        <w:t>Nachweise</w:t>
      </w:r>
      <w:bookmarkEnd w:id="173"/>
    </w:p>
    <w:p w14:paraId="56F1FCD4" w14:textId="744E60E0" w:rsidR="00232CB1" w:rsidRPr="00F41258" w:rsidRDefault="00232CB1" w:rsidP="009B6F99">
      <w:pPr>
        <w:pStyle w:val="Listenabsatz"/>
        <w:numPr>
          <w:ilvl w:val="0"/>
          <w:numId w:val="15"/>
        </w:numPr>
      </w:pPr>
      <w:r w:rsidRPr="00F41258">
        <w:t>Bestätigung eines Experten der Energieeffizienz-Experten-Liste (</w:t>
      </w:r>
      <w:hyperlink r:id="rId14" w:tooltip="http://www.energie-effizienz-experten.de" w:history="1">
        <w:r w:rsidRPr="00F41258">
          <w:rPr>
            <w:u w:val="single"/>
          </w:rPr>
          <w:t>www.energie-effizienz-experten.de</w:t>
        </w:r>
      </w:hyperlink>
      <w:r w:rsidRPr="00F41258">
        <w:t>)</w:t>
      </w:r>
    </w:p>
    <w:p w14:paraId="1C7D2503" w14:textId="331EE9AC" w:rsidR="00232CB1" w:rsidRPr="00F41258" w:rsidRDefault="00232CB1" w:rsidP="009B6F99">
      <w:pPr>
        <w:pStyle w:val="Listenabsatz"/>
        <w:numPr>
          <w:ilvl w:val="0"/>
          <w:numId w:val="15"/>
        </w:numPr>
      </w:pPr>
      <w:r w:rsidRPr="00F41258">
        <w:t xml:space="preserve">Herstellernachweis über die oben beschriebenen Funktionen </w:t>
      </w:r>
    </w:p>
    <w:p w14:paraId="0801AF52" w14:textId="44B6BB19" w:rsidR="00232CB1" w:rsidRPr="00F41258" w:rsidRDefault="00232CB1" w:rsidP="009B6F99">
      <w:pPr>
        <w:pStyle w:val="Listenabsatz"/>
        <w:numPr>
          <w:ilvl w:val="0"/>
          <w:numId w:val="15"/>
        </w:numPr>
      </w:pPr>
      <w:r w:rsidRPr="00F41258">
        <w:t>Nachweis der Einhaltung der Vorgaben der DIN 4108-2 zum sommerlichen Mindestwärmeschutz</w:t>
      </w:r>
    </w:p>
    <w:p w14:paraId="43AF9E5A" w14:textId="2ABDA04F" w:rsidR="00232CB1" w:rsidRPr="00F41258" w:rsidRDefault="00232CB1" w:rsidP="009B6F99">
      <w:pPr>
        <w:pStyle w:val="Listenabsatz"/>
        <w:numPr>
          <w:ilvl w:val="0"/>
          <w:numId w:val="15"/>
        </w:numPr>
      </w:pPr>
      <w:r w:rsidRPr="00F41258">
        <w:t>Vorhabenbezogene Rechnungen und Nachweise über die geleisteten Zahlungen, Aufstellung der förderfähigen Investitionsmaßnahmen und -kosten</w:t>
      </w:r>
    </w:p>
    <w:p w14:paraId="47BBB7E3" w14:textId="0A5BBC70" w:rsidR="00E57276" w:rsidRPr="00F41258" w:rsidRDefault="00E57276" w:rsidP="00EB6174">
      <w:pPr>
        <w:pStyle w:val="berschrift3"/>
      </w:pPr>
      <w:bookmarkStart w:id="174" w:name="_Toc144908045"/>
      <w:r w:rsidRPr="00F41258">
        <w:t>Anforderungen</w:t>
      </w:r>
      <w:bookmarkEnd w:id="174"/>
    </w:p>
    <w:p w14:paraId="6D8DBB3B" w14:textId="732E83F7" w:rsidR="00E57276" w:rsidRPr="00F41258" w:rsidRDefault="00EA31EA" w:rsidP="00E57276">
      <w:r w:rsidRPr="00F41258">
        <w:t>Die Ei</w:t>
      </w:r>
      <w:r w:rsidR="00AD4CCE" w:rsidRPr="00F41258">
        <w:t>n</w:t>
      </w:r>
      <w:r w:rsidRPr="00F41258">
        <w:t>haltung der</w:t>
      </w:r>
      <w:r w:rsidR="00E57276" w:rsidRPr="00F41258">
        <w:t xml:space="preserve"> Vorgaben der DIN 4108-2: 2013-02 durch Sonnenschutzvorrichtungen nach</w:t>
      </w:r>
      <w:r w:rsidRPr="00F41258">
        <w:t xml:space="preserve"> deren</w:t>
      </w:r>
      <w:r w:rsidR="00E57276" w:rsidRPr="00F41258">
        <w:t xml:space="preserve"> Tabelle 7 Zeilen 3.1 bis 3.3 (unabhängig von der Art des Antriebes) zum sommerlichen Wärmeschutz </w:t>
      </w:r>
      <w:r w:rsidRPr="00F41258">
        <w:t>sind einzuhalten.</w:t>
      </w:r>
      <w:r w:rsidR="00E57276" w:rsidRPr="00F41258">
        <w:t xml:space="preserve"> </w:t>
      </w:r>
      <w:r w:rsidRPr="00F41258">
        <w:t>A</w:t>
      </w:r>
      <w:r w:rsidR="00E57276" w:rsidRPr="00F41258">
        <w:t xml:space="preserve">usgeschlossen sind Sonnenschutzvorrichtungen nach Zeile 3.4 „Vordächer, Markisen allgemein, freistehende Lamellen“. </w:t>
      </w:r>
      <w:r w:rsidRPr="00F41258">
        <w:t>Es</w:t>
      </w:r>
      <w:r w:rsidR="00E57276" w:rsidRPr="00F41258">
        <w:t xml:space="preserve"> werden ausschließlich Maßnahmen zum sommerlichen Wärmeschutz </w:t>
      </w:r>
      <w:r w:rsidRPr="00F41258">
        <w:t>gefördert, die a</w:t>
      </w:r>
      <w:r w:rsidR="00E57276" w:rsidRPr="00F41258">
        <w:t>n der thermischen Gebäudehülle parallel zur Verglasungsfläche installiert werden.</w:t>
      </w:r>
    </w:p>
    <w:p w14:paraId="435ABA10" w14:textId="378B59AD" w:rsidR="00232CB1" w:rsidRPr="00F41258" w:rsidRDefault="00232CB1" w:rsidP="00583FF0">
      <w:pPr>
        <w:pStyle w:val="berschrift1"/>
      </w:pPr>
      <w:bookmarkStart w:id="175" w:name="_Toc112915712"/>
      <w:bookmarkStart w:id="176" w:name="_Toc144908046"/>
      <w:r w:rsidRPr="00F41258">
        <w:t>Anlagentechnik (außer Heizung)</w:t>
      </w:r>
      <w:bookmarkEnd w:id="175"/>
      <w:bookmarkEnd w:id="176"/>
    </w:p>
    <w:p w14:paraId="0AA0C9B6" w14:textId="6CFFEF07" w:rsidR="00232CB1" w:rsidRPr="00F41258" w:rsidRDefault="00232CB1" w:rsidP="00583FF0">
      <w:pPr>
        <w:pStyle w:val="berschrift2"/>
        <w:rPr>
          <w:spacing w:val="-1"/>
        </w:rPr>
      </w:pPr>
      <w:bookmarkStart w:id="177" w:name="_Toc112915713"/>
      <w:bookmarkStart w:id="178" w:name="_Toc144908047"/>
      <w:r w:rsidRPr="00F41258">
        <w:t>Einbau, Austausch oder Optimierung raumluft- und klimatechnischer Anlagen inklusive Wärme-/Kälterückgewin</w:t>
      </w:r>
      <w:r w:rsidRPr="00F41258">
        <w:rPr>
          <w:spacing w:val="-1"/>
        </w:rPr>
        <w:t>nung</w:t>
      </w:r>
      <w:bookmarkEnd w:id="177"/>
      <w:bookmarkEnd w:id="178"/>
    </w:p>
    <w:p w14:paraId="5567130C" w14:textId="77777777" w:rsidR="00232CB1" w:rsidRPr="00F41258" w:rsidRDefault="00232CB1" w:rsidP="00583FF0">
      <w:r w:rsidRPr="00F41258">
        <w:t>Gefördert werden bauliche und anlagentechnische Maßnahmen zur Verbesserung der Energieeffizienz, welche die folgenden Mindestanforderungen erfüllen.</w:t>
      </w:r>
    </w:p>
    <w:p w14:paraId="6E529B95" w14:textId="7FF3307E" w:rsidR="00232CB1" w:rsidRPr="00F41258" w:rsidRDefault="00232CB1" w:rsidP="00EB6174">
      <w:pPr>
        <w:pStyle w:val="berschrift3"/>
      </w:pPr>
      <w:bookmarkStart w:id="179" w:name="_Toc144908048"/>
      <w:r w:rsidRPr="00F41258">
        <w:t>Erstinstallation/Erneuerung von Lüftungsanlagen – Wohngebäude</w:t>
      </w:r>
      <w:bookmarkEnd w:id="179"/>
      <w:r w:rsidRPr="00F41258">
        <w:t xml:space="preserve"> </w:t>
      </w:r>
    </w:p>
    <w:p w14:paraId="7227965E" w14:textId="77777777" w:rsidR="00232CB1" w:rsidRPr="00F41258" w:rsidRDefault="00232CB1" w:rsidP="00583FF0">
      <w:r w:rsidRPr="00F41258">
        <w:t>Gefördert wird die Umsetzung folgender Maßnahmen:</w:t>
      </w:r>
    </w:p>
    <w:p w14:paraId="73C07C12" w14:textId="010936C6" w:rsidR="00232CB1" w:rsidRPr="00F41258" w:rsidRDefault="00232CB1" w:rsidP="009B6F99">
      <w:pPr>
        <w:pStyle w:val="Listenabsatz"/>
        <w:numPr>
          <w:ilvl w:val="0"/>
          <w:numId w:val="15"/>
        </w:numPr>
      </w:pPr>
      <w:r w:rsidRPr="00F41258">
        <w:lastRenderedPageBreak/>
        <w:t xml:space="preserve">Bedarfsgeregelte zentrale Abluftsysteme, die Feuchte-, Kohlendioxid- oder Mischgasgeführt sind und eine spezifische elektrische Leistungsaufnahme der Ventilatoren von </w:t>
      </w:r>
      <w:proofErr w:type="spellStart"/>
      <w:proofErr w:type="gramStart"/>
      <w:r w:rsidRPr="00F41258">
        <w:t>P</w:t>
      </w:r>
      <w:r w:rsidRPr="00F41258">
        <w:rPr>
          <w:vertAlign w:val="subscript"/>
        </w:rPr>
        <w:t>el,Vent</w:t>
      </w:r>
      <w:proofErr w:type="spellEnd"/>
      <w:proofErr w:type="gramEnd"/>
      <w:r w:rsidRPr="00F41258">
        <w:rPr>
          <w:vertAlign w:val="subscript"/>
        </w:rPr>
        <w:t xml:space="preserve"> </w:t>
      </w:r>
      <w:r w:rsidRPr="00F41258">
        <w:t>≤ 0,20 W/(m</w:t>
      </w:r>
      <w:r w:rsidRPr="00F41258">
        <w:rPr>
          <w:vertAlign w:val="superscript"/>
        </w:rPr>
        <w:t>3</w:t>
      </w:r>
      <w:r w:rsidRPr="00F41258">
        <w:t>/h) aufweisen</w:t>
      </w:r>
    </w:p>
    <w:p w14:paraId="3A64BC58" w14:textId="42A6D74C" w:rsidR="00232CB1" w:rsidRPr="00F41258" w:rsidRDefault="00232CB1" w:rsidP="009B6F99">
      <w:pPr>
        <w:pStyle w:val="Listenabsatz"/>
        <w:numPr>
          <w:ilvl w:val="0"/>
          <w:numId w:val="15"/>
        </w:numPr>
      </w:pPr>
      <w:r w:rsidRPr="00F41258">
        <w:t>Zentrale, dezentrale oder raumweise Anlagen mit Wärmeübertrager, mit denen</w:t>
      </w:r>
    </w:p>
    <w:p w14:paraId="459A54E9" w14:textId="163C7ED5" w:rsidR="00232CB1" w:rsidRPr="00F41258" w:rsidRDefault="00232CB1" w:rsidP="009B6F99">
      <w:pPr>
        <w:pStyle w:val="Listenabsatz"/>
        <w:numPr>
          <w:ilvl w:val="1"/>
          <w:numId w:val="37"/>
        </w:numPr>
      </w:pPr>
      <w:r w:rsidRPr="00F41258">
        <w:t xml:space="preserve">ein Wärmebereitstellungsgrad von </w:t>
      </w:r>
      <w:proofErr w:type="spellStart"/>
      <w:r w:rsidRPr="00F41258">
        <w:t>η</w:t>
      </w:r>
      <w:r w:rsidRPr="00F41258">
        <w:rPr>
          <w:vertAlign w:val="subscript"/>
        </w:rPr>
        <w:t>WBG</w:t>
      </w:r>
      <w:proofErr w:type="spellEnd"/>
      <w:r w:rsidRPr="00F41258">
        <w:t xml:space="preserve"> ≥ 80 % bei einer spezifischen elektrischen Leistungsaufnahme von </w:t>
      </w:r>
      <w:proofErr w:type="spellStart"/>
      <w:proofErr w:type="gramStart"/>
      <w:r w:rsidR="00380B36" w:rsidRPr="00F41258">
        <w:t>P</w:t>
      </w:r>
      <w:r w:rsidR="00380B36" w:rsidRPr="00F41258">
        <w:rPr>
          <w:vertAlign w:val="subscript"/>
        </w:rPr>
        <w:t>el,Vent</w:t>
      </w:r>
      <w:proofErr w:type="spellEnd"/>
      <w:proofErr w:type="gramEnd"/>
      <w:r w:rsidR="00380B36" w:rsidRPr="00F41258">
        <w:rPr>
          <w:vertAlign w:val="subscript"/>
        </w:rPr>
        <w:t xml:space="preserve"> </w:t>
      </w:r>
      <w:r w:rsidRPr="00F41258">
        <w:t>≤ 0,45 W/(m</w:t>
      </w:r>
      <w:r w:rsidRPr="00F41258">
        <w:rPr>
          <w:vertAlign w:val="superscript"/>
        </w:rPr>
        <w:t>3</w:t>
      </w:r>
      <w:r w:rsidRPr="00F41258">
        <w:t>/h) oder</w:t>
      </w:r>
    </w:p>
    <w:p w14:paraId="4CB8396C" w14:textId="20DECE82" w:rsidR="00232CB1" w:rsidRPr="00F41258" w:rsidRDefault="00232CB1" w:rsidP="009B6F99">
      <w:pPr>
        <w:pStyle w:val="Listenabsatz"/>
        <w:numPr>
          <w:ilvl w:val="1"/>
          <w:numId w:val="37"/>
        </w:numPr>
      </w:pPr>
      <w:r w:rsidRPr="00F41258">
        <w:t xml:space="preserve">ein Wärmebereitstellungsgrad von </w:t>
      </w:r>
      <w:proofErr w:type="spellStart"/>
      <w:r w:rsidRPr="00F41258">
        <w:t>η</w:t>
      </w:r>
      <w:r w:rsidRPr="00F41258">
        <w:rPr>
          <w:vertAlign w:val="subscript"/>
        </w:rPr>
        <w:t>WBG</w:t>
      </w:r>
      <w:proofErr w:type="spellEnd"/>
      <w:r w:rsidRPr="00F41258">
        <w:t xml:space="preserve"> ≥ 75 % bei einer spezifischen elektrischen Leistungsaufnahme von </w:t>
      </w:r>
      <w:proofErr w:type="spellStart"/>
      <w:proofErr w:type="gramStart"/>
      <w:r w:rsidR="00380B36" w:rsidRPr="00F41258">
        <w:t>P</w:t>
      </w:r>
      <w:r w:rsidR="00380B36" w:rsidRPr="00F41258">
        <w:rPr>
          <w:vertAlign w:val="subscript"/>
        </w:rPr>
        <w:t>el,Vent</w:t>
      </w:r>
      <w:proofErr w:type="spellEnd"/>
      <w:proofErr w:type="gramEnd"/>
      <w:r w:rsidR="00380B36" w:rsidRPr="00F41258">
        <w:rPr>
          <w:vertAlign w:val="subscript"/>
        </w:rPr>
        <w:t xml:space="preserve"> </w:t>
      </w:r>
      <w:r w:rsidRPr="00F41258">
        <w:t>≤ 0,35 W/(m</w:t>
      </w:r>
      <w:r w:rsidRPr="00F41258">
        <w:rPr>
          <w:vertAlign w:val="superscript"/>
        </w:rPr>
        <w:t>3</w:t>
      </w:r>
      <w:r w:rsidRPr="00F41258">
        <w:t>/h) erreicht wird</w:t>
      </w:r>
    </w:p>
    <w:p w14:paraId="527FC8B6" w14:textId="4A9C8FD7" w:rsidR="00232CB1" w:rsidRPr="00F41258" w:rsidRDefault="00232CB1" w:rsidP="009B6F99">
      <w:pPr>
        <w:pStyle w:val="Listenabsatz"/>
        <w:numPr>
          <w:ilvl w:val="0"/>
          <w:numId w:val="15"/>
        </w:numPr>
      </w:pPr>
      <w:r w:rsidRPr="00F41258">
        <w:t>Kompaktgeräte mit Luft-/Luft-Wärmeübertrager und mit Abluftwärmepumpe mit denen</w:t>
      </w:r>
    </w:p>
    <w:p w14:paraId="0B43DE37" w14:textId="182038F6" w:rsidR="00232CB1" w:rsidRPr="00F41258" w:rsidRDefault="00232CB1" w:rsidP="009B6F99">
      <w:pPr>
        <w:pStyle w:val="Listenabsatz"/>
        <w:numPr>
          <w:ilvl w:val="1"/>
          <w:numId w:val="37"/>
        </w:numPr>
      </w:pPr>
      <w:r w:rsidRPr="00F41258">
        <w:t xml:space="preserve">ein Wärmebereitstellungsgrad von </w:t>
      </w:r>
      <w:proofErr w:type="spellStart"/>
      <w:r w:rsidRPr="00F41258">
        <w:t>η</w:t>
      </w:r>
      <w:r w:rsidRPr="00F41258">
        <w:rPr>
          <w:vertAlign w:val="subscript"/>
        </w:rPr>
        <w:t>WBG</w:t>
      </w:r>
      <w:proofErr w:type="spellEnd"/>
      <w:r w:rsidRPr="00F41258">
        <w:t xml:space="preserve"> ≥ 75 % bei einer jahreszeitbedingten Raumheizungs-Energieeffizienz von </w:t>
      </w:r>
      <w:proofErr w:type="spellStart"/>
      <w:r w:rsidRPr="00F41258">
        <w:t>η</w:t>
      </w:r>
      <w:r w:rsidRPr="00F41258">
        <w:rPr>
          <w:vertAlign w:val="subscript"/>
        </w:rPr>
        <w:t>s</w:t>
      </w:r>
      <w:proofErr w:type="spellEnd"/>
      <w:r w:rsidRPr="00F41258">
        <w:t xml:space="preserve"> (ETAs) ≥ 140 % (bei 35 °C) und eine spezifische elektrische Leistungsaufnahme der Ventilatoren von </w:t>
      </w:r>
      <w:proofErr w:type="spellStart"/>
      <w:proofErr w:type="gramStart"/>
      <w:r w:rsidR="00380B36" w:rsidRPr="00F41258">
        <w:t>P</w:t>
      </w:r>
      <w:r w:rsidR="00380B36" w:rsidRPr="00F41258">
        <w:rPr>
          <w:vertAlign w:val="subscript"/>
        </w:rPr>
        <w:t>el,Vent</w:t>
      </w:r>
      <w:proofErr w:type="spellEnd"/>
      <w:proofErr w:type="gramEnd"/>
      <w:r w:rsidR="00380B36" w:rsidRPr="00F41258">
        <w:rPr>
          <w:vertAlign w:val="subscript"/>
        </w:rPr>
        <w:t xml:space="preserve"> </w:t>
      </w:r>
      <w:r w:rsidRPr="00F41258">
        <w:t>≤ 0,45 W/(m</w:t>
      </w:r>
      <w:r w:rsidRPr="00F41258">
        <w:rPr>
          <w:vertAlign w:val="superscript"/>
        </w:rPr>
        <w:t>3</w:t>
      </w:r>
      <w:r w:rsidRPr="00F41258">
        <w:t>/h) erreicht wird</w:t>
      </w:r>
    </w:p>
    <w:p w14:paraId="45B08D44" w14:textId="797DC6CB" w:rsidR="00232CB1" w:rsidRPr="00F41258" w:rsidRDefault="00232CB1" w:rsidP="009B6F99">
      <w:pPr>
        <w:pStyle w:val="Listenabsatz"/>
        <w:numPr>
          <w:ilvl w:val="0"/>
          <w:numId w:val="15"/>
        </w:numPr>
      </w:pPr>
      <w:r w:rsidRPr="00F41258">
        <w:t>Kompaktgeräte ohne Luft-/Luft-Wärmeübertrager und mit Abluftwärmepumpe mit denen</w:t>
      </w:r>
    </w:p>
    <w:p w14:paraId="212846C4" w14:textId="00023C74" w:rsidR="00232CB1" w:rsidRPr="00F41258" w:rsidRDefault="00232CB1" w:rsidP="009B6F99">
      <w:pPr>
        <w:pStyle w:val="Listenabsatz"/>
        <w:numPr>
          <w:ilvl w:val="1"/>
          <w:numId w:val="37"/>
        </w:numPr>
      </w:pPr>
      <w:r w:rsidRPr="00F41258">
        <w:t xml:space="preserve">eine jahreszeitbedingte Raumheizungseffizienz von </w:t>
      </w:r>
      <w:proofErr w:type="spellStart"/>
      <w:r w:rsidRPr="00F41258">
        <w:t>η</w:t>
      </w:r>
      <w:r w:rsidRPr="00F41258">
        <w:rPr>
          <w:vertAlign w:val="subscript"/>
        </w:rPr>
        <w:t>s</w:t>
      </w:r>
      <w:proofErr w:type="spellEnd"/>
      <w:r w:rsidRPr="00F41258">
        <w:t xml:space="preserve"> (ETAs) ≥ 140 % (bei 35 °C) bei einer spezifischen elektrischen Leistungsaufnahme der Ventilatoren von </w:t>
      </w:r>
      <w:proofErr w:type="spellStart"/>
      <w:proofErr w:type="gramStart"/>
      <w:r w:rsidR="00380B36" w:rsidRPr="00F41258">
        <w:t>P</w:t>
      </w:r>
      <w:r w:rsidR="00380B36" w:rsidRPr="00F41258">
        <w:rPr>
          <w:vertAlign w:val="subscript"/>
        </w:rPr>
        <w:t>el,Vent</w:t>
      </w:r>
      <w:proofErr w:type="spellEnd"/>
      <w:proofErr w:type="gramEnd"/>
      <w:r w:rsidR="00380B36" w:rsidRPr="00F41258">
        <w:rPr>
          <w:vertAlign w:val="subscript"/>
        </w:rPr>
        <w:t xml:space="preserve"> </w:t>
      </w:r>
      <w:r w:rsidRPr="00F41258">
        <w:t>≤ 0,35 W/(m</w:t>
      </w:r>
      <w:r w:rsidRPr="00F41258">
        <w:rPr>
          <w:vertAlign w:val="superscript"/>
        </w:rPr>
        <w:t>3</w:t>
      </w:r>
      <w:r w:rsidRPr="00F41258">
        <w:t>/h) erreicht wird</w:t>
      </w:r>
    </w:p>
    <w:p w14:paraId="212F979C" w14:textId="77777777" w:rsidR="00232CB1" w:rsidRPr="00F41258" w:rsidRDefault="00232CB1" w:rsidP="00583FF0">
      <w:r w:rsidRPr="00F41258">
        <w:t>Die Einhaltung der Anforderungen an Lüftungsanlagen ist durch eine Fachunternehmererklärung zusammen mit einer Herstellerbescheinigung für die Gerätekomponenten auf Grundlage der DIN V 4701-10/12, DIN V 18599-6 und DIN 1946-6 zu dokumentieren.</w:t>
      </w:r>
    </w:p>
    <w:p w14:paraId="39D7FD4F" w14:textId="77777777" w:rsidR="00232CB1" w:rsidRPr="00F41258" w:rsidRDefault="00232CB1" w:rsidP="00583FF0">
      <w:r w:rsidRPr="00F41258">
        <w:t>Eine Lüftungsanlage muss einreguliert sein und mindestens in der Lage sein, die in DIN 1946-6 genannte Lüftung zum Feuchteschutz für das Gebäude beziehungsweise für mindestens sämtliche Nutzungseinheiten sicherzustellen.</w:t>
      </w:r>
    </w:p>
    <w:p w14:paraId="2E1D9E09" w14:textId="77777777" w:rsidR="00232CB1" w:rsidRPr="00F41258" w:rsidRDefault="00232CB1" w:rsidP="00583FF0">
      <w:r w:rsidRPr="00F41258">
        <w:t>Die jeweiligen Anforderungen an die spezifische elektrische Leistungsaufnahme von Ventilatoren und an den Wärme-bereitstellungsgrad von Lüftungsanlagen werden gleichwertig erfüllt, wenn die Lüftungsanlage einen spezifischen Energieverbrauch von SEV &lt; -26 kWh</w:t>
      </w:r>
      <w:proofErr w:type="gramStart"/>
      <w:r w:rsidRPr="00F41258">
        <w:t>/(</w:t>
      </w:r>
      <w:proofErr w:type="gramEnd"/>
      <w:r w:rsidRPr="00F41258">
        <w:t>m</w:t>
      </w:r>
      <w:r w:rsidRPr="00F41258">
        <w:rPr>
          <w:vertAlign w:val="superscript"/>
        </w:rPr>
        <w:t>2</w:t>
      </w:r>
      <w:r w:rsidRPr="00F41258">
        <w:t xml:space="preserve"> a) gemäß Ökodesign-Richtlinie aufweist.</w:t>
      </w:r>
    </w:p>
    <w:p w14:paraId="41448D0C" w14:textId="77777777" w:rsidR="00232CB1" w:rsidRPr="00F41258" w:rsidRDefault="00232CB1" w:rsidP="00583FF0">
      <w:r w:rsidRPr="00F41258">
        <w:t>Lüftungsanlagen müssen die zum Zeitpunkt des Einbaus geltenden Anforderungen der Ökodesign-Richtlinie an die umweltgerechte Gestaltung von Wohnungslüftungsanlagen einhalten.</w:t>
      </w:r>
    </w:p>
    <w:p w14:paraId="7DE3CDA9" w14:textId="77777777" w:rsidR="00232CB1" w:rsidRPr="00F41258" w:rsidRDefault="00232CB1" w:rsidP="00583FF0">
      <w:r w:rsidRPr="00F41258">
        <w:t>Empfehlenswert ist folgende Maßnahmenkombination:</w:t>
      </w:r>
    </w:p>
    <w:p w14:paraId="2755D777" w14:textId="07DAF841" w:rsidR="00232CB1" w:rsidRPr="00F41258" w:rsidRDefault="00232CB1" w:rsidP="009B6F99">
      <w:pPr>
        <w:pStyle w:val="Listenabsatz"/>
        <w:numPr>
          <w:ilvl w:val="0"/>
          <w:numId w:val="15"/>
        </w:numPr>
      </w:pPr>
      <w:r w:rsidRPr="00F41258">
        <w:t>Erneuerung oder Erstinstallation einer Zu- und Abluftanlage mit einem Wärmeübertrager, die die unter Abschnitt „Lüftungsanlagen“ genannten Anforderungen erfüllt</w:t>
      </w:r>
    </w:p>
    <w:p w14:paraId="2337A881" w14:textId="2643AD18" w:rsidR="00232CB1" w:rsidRPr="00F41258" w:rsidRDefault="00232CB1" w:rsidP="009B6F99">
      <w:pPr>
        <w:pStyle w:val="Listenabsatz"/>
        <w:numPr>
          <w:ilvl w:val="0"/>
          <w:numId w:val="15"/>
        </w:numPr>
      </w:pPr>
      <w:r w:rsidRPr="00F41258">
        <w:t>Zusätzliche Umsetzung mindestens einer der in Abschnitt „Dämmung der Gebäudehülle, Sanierung von Fenstern, Türen und Vorhangfassaden“ genannten Maßnahmen an der Gebäudehülle mit den dort genannten Anforderungen</w:t>
      </w:r>
    </w:p>
    <w:p w14:paraId="29482027" w14:textId="1DCFEFF1" w:rsidR="00232CB1" w:rsidRPr="00F41258" w:rsidRDefault="00232CB1" w:rsidP="009B6F99">
      <w:pPr>
        <w:pStyle w:val="Listenabsatz"/>
        <w:numPr>
          <w:ilvl w:val="0"/>
          <w:numId w:val="15"/>
        </w:numPr>
      </w:pPr>
      <w:r w:rsidRPr="00F41258">
        <w:t>Messtechnische Bestimmung der Luftdichtheit der Gebäudehülle entweder für das fertig gestellte Gebäude/Wohneinheit oder während der Bauphase als Bestandteil der Qualitätssicherung</w:t>
      </w:r>
    </w:p>
    <w:p w14:paraId="4F062FFD" w14:textId="21DF63CE" w:rsidR="00232CB1" w:rsidRPr="00F41258" w:rsidRDefault="00232CB1" w:rsidP="00EB6174">
      <w:pPr>
        <w:pStyle w:val="berschrift3"/>
      </w:pPr>
      <w:bookmarkStart w:id="180" w:name="_Toc144908049"/>
      <w:r w:rsidRPr="00F41258">
        <w:lastRenderedPageBreak/>
        <w:t>Erstinstallation/Erneuerung von Lüftungsanlagen – Nichtwohngebäude</w:t>
      </w:r>
      <w:bookmarkEnd w:id="180"/>
      <w:r w:rsidRPr="00F41258">
        <w:t xml:space="preserve"> </w:t>
      </w:r>
    </w:p>
    <w:p w14:paraId="3B6BE31D" w14:textId="77777777" w:rsidR="00232CB1" w:rsidRPr="00F41258" w:rsidRDefault="00232CB1" w:rsidP="00583FF0">
      <w:r w:rsidRPr="00F41258">
        <w:t>Gefördert wird die Umsetzung folgender Maßnahmen:</w:t>
      </w:r>
    </w:p>
    <w:p w14:paraId="34F4A016" w14:textId="6E7CBEB5" w:rsidR="00232CB1" w:rsidRPr="00F41258" w:rsidRDefault="00232CB1" w:rsidP="009B6F99">
      <w:pPr>
        <w:pStyle w:val="Listenabsatz"/>
        <w:numPr>
          <w:ilvl w:val="0"/>
          <w:numId w:val="15"/>
        </w:numPr>
      </w:pPr>
      <w:r w:rsidRPr="00F41258">
        <w:t xml:space="preserve">bedarfsgeregelte Zu- und Abluftsysteme mit Wärmerückgewinnung, die Feuchte-, Kohlendioxid- oder </w:t>
      </w:r>
      <w:r w:rsidRPr="00F41258">
        <w:t>Mischgasgeführt</w:t>
      </w:r>
      <w:r w:rsidRPr="00F41258">
        <w:t xml:space="preserve"> geführt sind. Die Anlage muss so ausgelegt sein, dass bei Auslegungsvolumenstrom die auf das Fördervolumen bezogene elektrische Ventilatorleistung je Ventilator den Grenzwert der Kategorie SFP 3 nach DIN 16798-3:2017-11 nicht überschreitet (Validierungslastbedingung). Das Luftleitungsnetz muss der Dichtheitsklasse B nach DIN Euronorm 15727:2010-10 (Luftleitungen mit rundem und eckigem Querschnitt), DIN Euronorm 12237:2003-07 (Luftleitungsformteile mit rundem Querschnitt) und DIN Euronorm 1507:2006-07 (Luftleitungsformteile mit eckigem Querschnitt) entsprechen.</w:t>
      </w:r>
    </w:p>
    <w:p w14:paraId="49C45F7A" w14:textId="64E0C5F0" w:rsidR="008907E8" w:rsidRPr="00F41258" w:rsidRDefault="00232CB1" w:rsidP="00EB6174">
      <w:pPr>
        <w:pStyle w:val="berschrift3"/>
      </w:pPr>
      <w:bookmarkStart w:id="181" w:name="_Toc144908050"/>
      <w:r w:rsidRPr="00F41258">
        <w:t>Austausch von Komponenten in bestehenden Lüftungsanlagen – Nichtwohngebäude</w:t>
      </w:r>
      <w:bookmarkEnd w:id="181"/>
    </w:p>
    <w:p w14:paraId="27AE2996" w14:textId="20464187" w:rsidR="00232CB1" w:rsidRPr="00F41258" w:rsidRDefault="00232CB1" w:rsidP="00583FF0">
      <w:r w:rsidRPr="00F41258">
        <w:t>Gefördert wird die Umsetzung folgender Maßnahmen:</w:t>
      </w:r>
    </w:p>
    <w:p w14:paraId="5F7E1ECE" w14:textId="1A2C1F6D" w:rsidR="00232CB1" w:rsidRPr="00F41258" w:rsidRDefault="00232CB1" w:rsidP="009B6F99">
      <w:pPr>
        <w:pStyle w:val="Listenabsatz"/>
        <w:numPr>
          <w:ilvl w:val="0"/>
          <w:numId w:val="15"/>
        </w:numPr>
      </w:pPr>
      <w:r w:rsidRPr="00F41258">
        <w:t>Einbau drehzahlgeregelter Ventilatoren mit einem Effizienzgrad gemäß Anhang IV Tabelle 1 der Verordnung der Europäischen Union Nummer 327/2011</w:t>
      </w:r>
    </w:p>
    <w:p w14:paraId="0470B156" w14:textId="0C526B00" w:rsidR="00232CB1" w:rsidRPr="00F41258" w:rsidRDefault="00232CB1" w:rsidP="009B6F99">
      <w:pPr>
        <w:pStyle w:val="Listenabsatz"/>
        <w:numPr>
          <w:ilvl w:val="0"/>
          <w:numId w:val="15"/>
        </w:numPr>
      </w:pPr>
      <w:r w:rsidRPr="00F41258">
        <w:t>Einbau von RLT-Geräten, die mindestens den Anforderungen nach Anhang III Nummer 2 der Verordnung der Europäischen Union Nummer 1253/2014 vom 7. Juli 2014 entsprechen</w:t>
      </w:r>
    </w:p>
    <w:p w14:paraId="724FE451" w14:textId="491A8757" w:rsidR="00232CB1" w:rsidRPr="00F41258" w:rsidRDefault="00232CB1" w:rsidP="009B6F99">
      <w:pPr>
        <w:pStyle w:val="Listenabsatz"/>
        <w:numPr>
          <w:ilvl w:val="0"/>
          <w:numId w:val="15"/>
        </w:numPr>
      </w:pPr>
      <w:r w:rsidRPr="00F41258">
        <w:t>Einbau energieeffizienter, drehzahlgeregelter Motoren</w:t>
      </w:r>
    </w:p>
    <w:p w14:paraId="7DF6DA7A" w14:textId="638BA99E" w:rsidR="00232CB1" w:rsidRPr="00F41258" w:rsidRDefault="00232CB1" w:rsidP="009B6F99">
      <w:pPr>
        <w:pStyle w:val="Listenabsatz"/>
        <w:numPr>
          <w:ilvl w:val="0"/>
          <w:numId w:val="15"/>
        </w:numPr>
      </w:pPr>
      <w:r w:rsidRPr="00F41258">
        <w:t>Elektromotoren mit einer Nennausgangsleistung unterhalb von 0,75 kW müssen eine Nenn-Mindesteffizienz größer gleich 82,4 % nach dem Verfahren in Verordnung (EG) Nr. 640/2009 vom 22. Juli 2009 aufweisen</w:t>
      </w:r>
    </w:p>
    <w:p w14:paraId="02287F9F" w14:textId="7A31B147" w:rsidR="00232CB1" w:rsidRPr="00F41258" w:rsidRDefault="00232CB1" w:rsidP="009B6F99">
      <w:pPr>
        <w:pStyle w:val="Listenabsatz"/>
        <w:numPr>
          <w:ilvl w:val="0"/>
          <w:numId w:val="15"/>
        </w:numPr>
      </w:pPr>
      <w:r w:rsidRPr="00F41258">
        <w:t>im Leistungsbereich größer 0,75 kW mindestens Effizienzklasse IE 4 nach Verordnung (EG) Nr. 640/2009 in Verbindung mit IEC 60034-30</w:t>
      </w:r>
    </w:p>
    <w:p w14:paraId="66B4AFA1" w14:textId="5AD61B8C" w:rsidR="00232CB1" w:rsidRPr="00F41258" w:rsidRDefault="00232CB1" w:rsidP="009B6F99">
      <w:pPr>
        <w:pStyle w:val="Listenabsatz"/>
        <w:numPr>
          <w:ilvl w:val="0"/>
          <w:numId w:val="15"/>
        </w:numPr>
      </w:pPr>
      <w:r w:rsidRPr="00F41258">
        <w:t>Nachrüstung von Frequenzumformern zur stufenlosen Regelung von Bestandsmotoren</w:t>
      </w:r>
    </w:p>
    <w:p w14:paraId="3CC2AE86" w14:textId="7DCDDD88" w:rsidR="00232CB1" w:rsidRPr="00F41258" w:rsidRDefault="00232CB1" w:rsidP="009B6F99">
      <w:pPr>
        <w:pStyle w:val="Listenabsatz"/>
        <w:numPr>
          <w:ilvl w:val="0"/>
          <w:numId w:val="15"/>
        </w:numPr>
      </w:pPr>
      <w:r w:rsidRPr="00F41258">
        <w:t>Erneuerung und Instandsetzung von Luftleitungen zur Erreichung mindestens der Dichtheitsklasse B nach DIN Euronorm 1507:2006-07, beziehungsweise nach DIN Euronorm 15727:2010-10 oder DIN Euronorm 12237:2003-07</w:t>
      </w:r>
    </w:p>
    <w:p w14:paraId="13AE1EE7" w14:textId="0346B1BC" w:rsidR="00232CB1" w:rsidRPr="00F41258" w:rsidRDefault="00232CB1" w:rsidP="009B6F99">
      <w:pPr>
        <w:pStyle w:val="Listenabsatz"/>
        <w:numPr>
          <w:ilvl w:val="0"/>
          <w:numId w:val="15"/>
        </w:numPr>
      </w:pPr>
      <w:r w:rsidRPr="00F41258">
        <w:t>Einbau einer Wärmerückgewinnung, die mindestens der Klassifizierung H1 nach DIN Euronorm 13053:2012-02 entspricht</w:t>
      </w:r>
    </w:p>
    <w:p w14:paraId="641F647F" w14:textId="1EFD480C" w:rsidR="00232CB1" w:rsidRPr="00F41258" w:rsidRDefault="00232CB1" w:rsidP="009B6F99">
      <w:pPr>
        <w:pStyle w:val="Listenabsatz"/>
        <w:numPr>
          <w:ilvl w:val="0"/>
          <w:numId w:val="15"/>
        </w:numPr>
      </w:pPr>
      <w:r w:rsidRPr="00F41258">
        <w:t>Reduzierung der Wärmeverluste durch nachträgliche Wärmedämmung der Außen- und Fortluftleitungen bei Innen</w:t>
      </w:r>
      <w:r w:rsidRPr="00F41258">
        <w:rPr>
          <w:spacing w:val="3"/>
        </w:rPr>
        <w:t>aufstellung oder der Zu- und Abluftleitungen bei Außenaufstellung</w:t>
      </w:r>
      <w:r w:rsidR="000A388B" w:rsidRPr="00F41258">
        <w:rPr>
          <w:spacing w:val="3"/>
        </w:rPr>
        <w:t xml:space="preserve"> </w:t>
      </w:r>
      <w:r w:rsidRPr="00F41258">
        <w:t>(</w:t>
      </w:r>
      <w:proofErr w:type="spellStart"/>
      <w:r w:rsidRPr="00F41258">
        <w:t>dmin</w:t>
      </w:r>
      <w:proofErr w:type="spellEnd"/>
      <w:r w:rsidRPr="00F41258">
        <w:t xml:space="preserve"> ≥ 6 cm; </w:t>
      </w:r>
      <w:proofErr w:type="spellStart"/>
      <w:r w:rsidRPr="00F41258">
        <w:t>λBW</w:t>
      </w:r>
      <w:proofErr w:type="spellEnd"/>
      <w:r w:rsidRPr="00F41258">
        <w:t xml:space="preserve"> = 0,035 W/(</w:t>
      </w:r>
      <w:proofErr w:type="spellStart"/>
      <w:r w:rsidRPr="00F41258">
        <w:t>mK</w:t>
      </w:r>
      <w:proofErr w:type="spellEnd"/>
      <w:r w:rsidRPr="00F41258">
        <w:t>) oder gleichwertig)</w:t>
      </w:r>
    </w:p>
    <w:p w14:paraId="235F5AFE" w14:textId="7B36EE93" w:rsidR="00232CB1" w:rsidRPr="00F41258" w:rsidRDefault="00232CB1" w:rsidP="00EB6174">
      <w:pPr>
        <w:pStyle w:val="berschrift3"/>
      </w:pPr>
      <w:bookmarkStart w:id="182" w:name="_Toc144908051"/>
      <w:r w:rsidRPr="00F41258">
        <w:t>Nachweise</w:t>
      </w:r>
      <w:bookmarkEnd w:id="182"/>
    </w:p>
    <w:p w14:paraId="1C32899C" w14:textId="77777777" w:rsidR="00232CB1" w:rsidRPr="00F41258" w:rsidRDefault="00232CB1" w:rsidP="00583FF0">
      <w:r w:rsidRPr="00F41258">
        <w:t>Wohngebäude:</w:t>
      </w:r>
    </w:p>
    <w:p w14:paraId="59D5D626" w14:textId="7DE767AF" w:rsidR="00232CB1" w:rsidRPr="00F41258" w:rsidRDefault="00232CB1" w:rsidP="009B6F99">
      <w:pPr>
        <w:pStyle w:val="Listenabsatz"/>
        <w:numPr>
          <w:ilvl w:val="0"/>
          <w:numId w:val="15"/>
        </w:numPr>
      </w:pPr>
      <w:r w:rsidRPr="00F41258">
        <w:t>Bestätigung eines Experten der Energieeffizienz-Experten-Liste (</w:t>
      </w:r>
      <w:hyperlink r:id="rId15" w:tooltip="http://www.energie-effizienz-experten.de" w:history="1">
        <w:r w:rsidRPr="00F41258">
          <w:rPr>
            <w:u w:val="single"/>
          </w:rPr>
          <w:t>www.energie-effizienz-experten.de</w:t>
        </w:r>
      </w:hyperlink>
      <w:r w:rsidRPr="00F41258">
        <w:t>)</w:t>
      </w:r>
    </w:p>
    <w:p w14:paraId="7B855DA5" w14:textId="1DC9317E" w:rsidR="00232CB1" w:rsidRPr="00F41258" w:rsidRDefault="00232CB1" w:rsidP="009B6F99">
      <w:pPr>
        <w:pStyle w:val="Listenabsatz"/>
        <w:numPr>
          <w:ilvl w:val="0"/>
          <w:numId w:val="15"/>
        </w:numPr>
      </w:pPr>
      <w:r w:rsidRPr="00F41258">
        <w:t>Herstellernachweise zu den Produktmerkmalen entsprechend der oben beschriebenen Funktionen der jeweils eingesetzten Technik oder</w:t>
      </w:r>
    </w:p>
    <w:p w14:paraId="46668E15" w14:textId="7E2035B4" w:rsidR="00232CB1" w:rsidRPr="00F41258" w:rsidRDefault="00232CB1" w:rsidP="009B6F99">
      <w:pPr>
        <w:pStyle w:val="Listenabsatz"/>
        <w:numPr>
          <w:ilvl w:val="0"/>
          <w:numId w:val="15"/>
        </w:numPr>
      </w:pPr>
      <w:r w:rsidRPr="00F41258">
        <w:lastRenderedPageBreak/>
        <w:t>Bestätigung der oben beschriebenen Funktionen oder Eigenschaften der jeweils eingesetzten Technik (z. B. Fachunternehmererklärung)</w:t>
      </w:r>
    </w:p>
    <w:p w14:paraId="6765A14E" w14:textId="74525A2D" w:rsidR="00232CB1" w:rsidRPr="00F41258" w:rsidRDefault="00232CB1" w:rsidP="009B6F99">
      <w:pPr>
        <w:pStyle w:val="Listenabsatz"/>
        <w:numPr>
          <w:ilvl w:val="0"/>
          <w:numId w:val="15"/>
        </w:numPr>
      </w:pPr>
      <w:r w:rsidRPr="00F41258">
        <w:t>Vorhabenbezogene Rechnungen und Nachweise über die geleisteten Zahlungen, Aufstellung der förderfähigen Investitionsmaßnahmen und -kosten</w:t>
      </w:r>
    </w:p>
    <w:p w14:paraId="40EA19D5" w14:textId="77777777" w:rsidR="00232CB1" w:rsidRPr="00F41258" w:rsidRDefault="00232CB1" w:rsidP="00583FF0">
      <w:r w:rsidRPr="00F41258">
        <w:t>Nichtwohngebäude:</w:t>
      </w:r>
    </w:p>
    <w:p w14:paraId="6FEDDAD1" w14:textId="31819D96" w:rsidR="00232CB1" w:rsidRPr="00F41258" w:rsidRDefault="00232CB1" w:rsidP="009B6F99">
      <w:pPr>
        <w:pStyle w:val="Listenabsatz"/>
        <w:numPr>
          <w:ilvl w:val="0"/>
          <w:numId w:val="15"/>
        </w:numPr>
      </w:pPr>
      <w:r w:rsidRPr="00F41258">
        <w:t>Bestätigung eines Experten der Energieeffizienz-Experten-Liste (</w:t>
      </w:r>
      <w:hyperlink r:id="rId16" w:tooltip="http://www.energie-effizienz-experten.de" w:history="1">
        <w:r w:rsidRPr="00F41258">
          <w:rPr>
            <w:u w:val="single"/>
          </w:rPr>
          <w:t>www.energie-effizienz-experten.de</w:t>
        </w:r>
      </w:hyperlink>
      <w:r w:rsidRPr="00F41258">
        <w:t>)</w:t>
      </w:r>
    </w:p>
    <w:p w14:paraId="12F066FC" w14:textId="22F581B8" w:rsidR="00232CB1" w:rsidRPr="00F41258" w:rsidRDefault="00232CB1" w:rsidP="009B6F99">
      <w:pPr>
        <w:pStyle w:val="Listenabsatz"/>
        <w:numPr>
          <w:ilvl w:val="0"/>
          <w:numId w:val="15"/>
        </w:numPr>
      </w:pPr>
      <w:r w:rsidRPr="00F41258">
        <w:t>Herstellernachweis zu den produktspezifischen Kenndaten (wie z. B. Wärmerückgewinnungsklasse, Dichtheitsklasse, Effizienzklasse von Ventilatoren)</w:t>
      </w:r>
    </w:p>
    <w:p w14:paraId="2BAB8A1F" w14:textId="130E50A2" w:rsidR="00232CB1" w:rsidRPr="00F41258" w:rsidRDefault="00232CB1" w:rsidP="009B6F99">
      <w:pPr>
        <w:pStyle w:val="Listenabsatz"/>
        <w:numPr>
          <w:ilvl w:val="0"/>
          <w:numId w:val="15"/>
        </w:numPr>
      </w:pPr>
      <w:r w:rsidRPr="00F41258">
        <w:t>Bei Ersteinbau, umfassender Erneuerung der Gesamtanlage oder Austausch des Ventilators: Bericht zur Übergabe der Anlage nach DIN Euronorm 12599:2013-01 Abschnitt 9</w:t>
      </w:r>
    </w:p>
    <w:p w14:paraId="6EDE800E" w14:textId="5158665B" w:rsidR="00232CB1" w:rsidRPr="00F41258" w:rsidRDefault="00232CB1" w:rsidP="009B6F99">
      <w:pPr>
        <w:pStyle w:val="Listenabsatz"/>
        <w:numPr>
          <w:ilvl w:val="0"/>
          <w:numId w:val="15"/>
        </w:numPr>
      </w:pPr>
      <w:r w:rsidRPr="00F41258">
        <w:t xml:space="preserve">Bei Erneuerung und Instandsetzung der Luftleitungen: Protokoll der Messung des </w:t>
      </w:r>
      <w:proofErr w:type="spellStart"/>
      <w:r w:rsidRPr="00F41258">
        <w:t>Leckluftvolumenstroms</w:t>
      </w:r>
      <w:proofErr w:type="spellEnd"/>
      <w:r w:rsidRPr="00F41258">
        <w:t xml:space="preserve"> nach DIN Euronorm 12599:2013-01 Abschnitt D-8</w:t>
      </w:r>
    </w:p>
    <w:p w14:paraId="68E38D26" w14:textId="32B55CD1" w:rsidR="00232CB1" w:rsidRPr="00F41258" w:rsidRDefault="00232CB1" w:rsidP="009B6F99">
      <w:pPr>
        <w:pStyle w:val="Listenabsatz"/>
        <w:numPr>
          <w:ilvl w:val="0"/>
          <w:numId w:val="15"/>
        </w:numPr>
      </w:pPr>
      <w:r w:rsidRPr="00F41258">
        <w:t>Bei der Dämmung von Luftleitungen: Herstellerangaben über Dämmstoffdicke und Wärmeleitfähigkeit</w:t>
      </w:r>
    </w:p>
    <w:p w14:paraId="7CAAD294" w14:textId="1B4F28FA" w:rsidR="00232CB1" w:rsidRPr="00F41258" w:rsidRDefault="00232CB1" w:rsidP="009B6F99">
      <w:pPr>
        <w:pStyle w:val="Listenabsatz"/>
        <w:numPr>
          <w:ilvl w:val="0"/>
          <w:numId w:val="15"/>
        </w:numPr>
      </w:pPr>
      <w:r w:rsidRPr="00F41258">
        <w:t>Vorhabenbezogene Rechnungen und Nachweise über die geleisteten Zahlungen, Aufstellung der förderfähigen Investitionsmaßnahmen und -kosten</w:t>
      </w:r>
    </w:p>
    <w:p w14:paraId="405D678F" w14:textId="6C533E85" w:rsidR="00232CB1" w:rsidRPr="00F41258" w:rsidRDefault="00D95285" w:rsidP="00380B36">
      <w:pPr>
        <w:pStyle w:val="berschrift2"/>
        <w:jc w:val="left"/>
      </w:pPr>
      <w:bookmarkStart w:id="183" w:name="_Toc112915714"/>
      <w:bookmarkStart w:id="184" w:name="_Toc144908052"/>
      <w:r w:rsidRPr="00F41258">
        <w:t xml:space="preserve">Wohngebäude: </w:t>
      </w:r>
      <w:r w:rsidR="00232CB1" w:rsidRPr="00F41258">
        <w:t>Einbau digitaler Systeme zur energetischen Betriebs- und Verbrauchsoptimierung bzw. zur Verbesserung der Netzdienlichkeit der technischen Anlagen des Gebäudes („Efficiency Smart Home“)</w:t>
      </w:r>
      <w:bookmarkEnd w:id="183"/>
      <w:bookmarkEnd w:id="184"/>
    </w:p>
    <w:p w14:paraId="5A5AB316" w14:textId="77777777" w:rsidR="00232CB1" w:rsidRPr="00F41258" w:rsidRDefault="00232CB1" w:rsidP="00583FF0">
      <w:r w:rsidRPr="00F41258">
        <w:t xml:space="preserve">Gefördert wird die Umsetzung von Maßnahmen zur Betriebsoptimierung durch elektronische Systeme mit dem Ziel der Verbesserung der Energieeffizienz bzw. der Netzdienlichkeit der technischen Anlagen in einem Gebäude (Heizung, Trinkwarmwasserbereitung, Lüftungs-/Klimatechnik, Beleuchtung et </w:t>
      </w:r>
      <w:proofErr w:type="spellStart"/>
      <w:r w:rsidRPr="00F41258">
        <w:t>cetera</w:t>
      </w:r>
      <w:proofErr w:type="spellEnd"/>
      <w:r w:rsidRPr="00F41258">
        <w:t xml:space="preserve">). Eine Verbrauchsoptimierung kann dabei auch durch verbesserte Nutzerinformation erreicht werden. Dafür muss mindestens je Wohneinheit der Energieverbrauch erfasst und dem Nutzer über ein Interface visualisiert werden. </w:t>
      </w:r>
    </w:p>
    <w:p w14:paraId="2B527169" w14:textId="47CC9170" w:rsidR="00D95285" w:rsidRPr="00F41258" w:rsidRDefault="00232CB1" w:rsidP="00583FF0">
      <w:r w:rsidRPr="00F41258">
        <w:t xml:space="preserve">Systeme zur Verbesserung der Netzdienlichkeit </w:t>
      </w:r>
      <w:r w:rsidR="00B00453" w:rsidRPr="00F41258">
        <w:t xml:space="preserve">müssen sicherstellen, dass energiewirtschaftlich relevante Mess- und Steuerungsvorgänge über ein Smart-Meter-Gateway entsprechend den Anforderungen des Energiewirtschaftsgesetzes und des Messstellenbetriebsgesetzes abgewickelt werden können. </w:t>
      </w:r>
    </w:p>
    <w:p w14:paraId="33467199" w14:textId="149A3B52" w:rsidR="00232CB1" w:rsidRPr="00F41258" w:rsidRDefault="00232CB1" w:rsidP="00EB6174">
      <w:pPr>
        <w:pStyle w:val="berschrift3"/>
      </w:pPr>
      <w:bookmarkStart w:id="185" w:name="_Toc144908054"/>
      <w:r w:rsidRPr="00F41258">
        <w:t>Nachweise</w:t>
      </w:r>
      <w:bookmarkEnd w:id="185"/>
    </w:p>
    <w:p w14:paraId="3080DC84" w14:textId="54874474" w:rsidR="00232CB1" w:rsidRPr="00F41258" w:rsidRDefault="00232CB1" w:rsidP="009B6F99">
      <w:pPr>
        <w:pStyle w:val="Listenabsatz"/>
        <w:numPr>
          <w:ilvl w:val="0"/>
          <w:numId w:val="16"/>
        </w:numPr>
      </w:pPr>
      <w:r w:rsidRPr="00F41258">
        <w:t>Bestätigung eines Experten der Energieeffizienz-Experten-Liste (</w:t>
      </w:r>
      <w:hyperlink r:id="rId17" w:tooltip="http://www.energie-effizienz-experten.de" w:history="1">
        <w:r w:rsidRPr="00F41258">
          <w:rPr>
            <w:u w:val="single"/>
          </w:rPr>
          <w:t>www.energie-effizienz-experten.de</w:t>
        </w:r>
      </w:hyperlink>
      <w:r w:rsidRPr="00F41258">
        <w:t>)</w:t>
      </w:r>
    </w:p>
    <w:p w14:paraId="5A9876F0" w14:textId="5C90E13F" w:rsidR="00232CB1" w:rsidRPr="00F41258" w:rsidRDefault="00232CB1" w:rsidP="009B6F99">
      <w:pPr>
        <w:pStyle w:val="Listenabsatz"/>
        <w:numPr>
          <w:ilvl w:val="0"/>
          <w:numId w:val="16"/>
        </w:numPr>
      </w:pPr>
      <w:r w:rsidRPr="00F41258">
        <w:t>Herstellernachweise zu den Produktmerkmalen entsprechend der oben beschriebenen Funktionen der jeweils eingesetzten Technik oder</w:t>
      </w:r>
    </w:p>
    <w:p w14:paraId="2617BDDD" w14:textId="7DD1BCBE" w:rsidR="00232CB1" w:rsidRPr="00F41258" w:rsidRDefault="00232CB1" w:rsidP="009B6F99">
      <w:pPr>
        <w:pStyle w:val="Listenabsatz"/>
        <w:numPr>
          <w:ilvl w:val="0"/>
          <w:numId w:val="16"/>
        </w:numPr>
      </w:pPr>
      <w:r w:rsidRPr="00F41258">
        <w:t>Bestätigung der oben beschriebenen Funktionen oder Eigenschaften der jeweils eingesetzten Technik (z. B. Fachunternehmererklärung)</w:t>
      </w:r>
    </w:p>
    <w:p w14:paraId="77DB979B" w14:textId="428908E2" w:rsidR="00232CB1" w:rsidRPr="00F41258" w:rsidRDefault="00232CB1" w:rsidP="009B6F99">
      <w:pPr>
        <w:pStyle w:val="Listenabsatz"/>
        <w:numPr>
          <w:ilvl w:val="0"/>
          <w:numId w:val="16"/>
        </w:numPr>
      </w:pPr>
      <w:r w:rsidRPr="00F41258">
        <w:t>Vorhabenbezogene Rechnungen und Nachweise über die geleisteten Zahlungen, Aufstellung der förderfähigen Investitionsmaßnahmen und -kosten</w:t>
      </w:r>
    </w:p>
    <w:p w14:paraId="3E540AB9" w14:textId="7AB5FED5" w:rsidR="00232CB1" w:rsidRPr="00F41258" w:rsidRDefault="00232CB1" w:rsidP="00583FF0">
      <w:pPr>
        <w:pStyle w:val="berschrift2"/>
      </w:pPr>
      <w:bookmarkStart w:id="186" w:name="_Toc112915715"/>
      <w:bookmarkStart w:id="187" w:name="_Toc144908055"/>
      <w:r w:rsidRPr="00F41258">
        <w:t>Nichtwohngebäude: Einbau von Mess-, Steuer- und Regelungstechnik</w:t>
      </w:r>
      <w:bookmarkEnd w:id="186"/>
      <w:bookmarkEnd w:id="187"/>
    </w:p>
    <w:p w14:paraId="392C26F6" w14:textId="77777777" w:rsidR="00232CB1" w:rsidRPr="00F41258" w:rsidRDefault="00232CB1" w:rsidP="00583FF0">
      <w:r w:rsidRPr="00F41258">
        <w:lastRenderedPageBreak/>
        <w:t>Gefördert wird der Einbau sowie Ersatz von Mess-, Steuer- und Regelungstechnik, die der Realisierung eines Gebäudeautomatisierungsgrades mindestens der Klasse B nach DIN V 18599-11 dienen (inklusive notwendiger Feldgeräte).</w:t>
      </w:r>
    </w:p>
    <w:p w14:paraId="7B1BA920" w14:textId="590A9159" w:rsidR="00232CB1" w:rsidRPr="00F41258" w:rsidRDefault="00232CB1" w:rsidP="00EB6174">
      <w:pPr>
        <w:pStyle w:val="berschrift3"/>
      </w:pPr>
      <w:bookmarkStart w:id="188" w:name="_Toc144908057"/>
      <w:r w:rsidRPr="00F41258">
        <w:t>Nachweise</w:t>
      </w:r>
      <w:bookmarkEnd w:id="188"/>
    </w:p>
    <w:p w14:paraId="6F343D30" w14:textId="645A027C" w:rsidR="00232CB1" w:rsidRPr="00F41258" w:rsidRDefault="00232CB1" w:rsidP="009B6F99">
      <w:pPr>
        <w:pStyle w:val="Listenabsatz"/>
        <w:numPr>
          <w:ilvl w:val="0"/>
          <w:numId w:val="16"/>
        </w:numPr>
      </w:pPr>
      <w:r w:rsidRPr="00F41258">
        <w:t>Bestätigung eines Experten der Energieeffizienz-Experten-Liste (</w:t>
      </w:r>
      <w:hyperlink r:id="rId18" w:tooltip="http://www.energie-effizienz-experten.de" w:history="1">
        <w:r w:rsidRPr="00F41258">
          <w:rPr>
            <w:u w:val="single"/>
          </w:rPr>
          <w:t>www.energie-effizienz-experten.de</w:t>
        </w:r>
      </w:hyperlink>
      <w:r w:rsidRPr="00F41258">
        <w:t>)</w:t>
      </w:r>
    </w:p>
    <w:p w14:paraId="421C5159" w14:textId="4E0DCE3C" w:rsidR="00232CB1" w:rsidRPr="00F41258" w:rsidRDefault="00232CB1" w:rsidP="009B6F99">
      <w:pPr>
        <w:pStyle w:val="Listenabsatz"/>
        <w:numPr>
          <w:ilvl w:val="0"/>
          <w:numId w:val="16"/>
        </w:numPr>
      </w:pPr>
      <w:r w:rsidRPr="00F41258">
        <w:t>Herstellernachweise zu den Produktmerkmalen entsprechend der oben beschriebenen Funktionen der jeweils eingesetzten Technik oder</w:t>
      </w:r>
    </w:p>
    <w:p w14:paraId="5369A75C" w14:textId="6DB81D70" w:rsidR="00232CB1" w:rsidRPr="00F41258" w:rsidRDefault="00232CB1" w:rsidP="009B6F99">
      <w:pPr>
        <w:pStyle w:val="Listenabsatz"/>
        <w:numPr>
          <w:ilvl w:val="0"/>
          <w:numId w:val="16"/>
        </w:numPr>
      </w:pPr>
      <w:r w:rsidRPr="00F41258">
        <w:t>Bestätigung der oben beschriebenen Funktionen oder Eigenschaften der jeweils eingesetzten Technik (z. B. Fachunternehmererklärung)</w:t>
      </w:r>
    </w:p>
    <w:p w14:paraId="17466112" w14:textId="30CA9333" w:rsidR="00232CB1" w:rsidRPr="00F41258" w:rsidRDefault="00232CB1" w:rsidP="009B6F99">
      <w:pPr>
        <w:pStyle w:val="Listenabsatz"/>
        <w:numPr>
          <w:ilvl w:val="0"/>
          <w:numId w:val="16"/>
        </w:numPr>
      </w:pPr>
      <w:r w:rsidRPr="00F41258">
        <w:t>Vorhabenbezogene Rechnungen und Nachweise über die geleisteten Zahlungen, Aufstellung der förderfähigen Investitionsmaßnahmen und -kosten</w:t>
      </w:r>
    </w:p>
    <w:p w14:paraId="0206B18E" w14:textId="4EF539F1" w:rsidR="00232CB1" w:rsidRPr="00F41258" w:rsidRDefault="00232CB1" w:rsidP="00583FF0">
      <w:pPr>
        <w:pStyle w:val="berschrift2"/>
      </w:pPr>
      <w:bookmarkStart w:id="189" w:name="_Toc112915716"/>
      <w:bookmarkStart w:id="190" w:name="_Toc144908058"/>
      <w:r w:rsidRPr="00F41258">
        <w:t>Nichtwohngebäude: Kältetechnik zur Raumkühlung</w:t>
      </w:r>
      <w:bookmarkEnd w:id="189"/>
      <w:bookmarkEnd w:id="190"/>
    </w:p>
    <w:p w14:paraId="55D64909" w14:textId="26F32CE9" w:rsidR="00232CB1" w:rsidRPr="00F41258" w:rsidRDefault="00232CB1" w:rsidP="00EB6174">
      <w:pPr>
        <w:pStyle w:val="berschrift3"/>
      </w:pPr>
      <w:bookmarkStart w:id="191" w:name="_Toc144908059"/>
      <w:r w:rsidRPr="00F41258">
        <w:t>Einbau einer energieeffizienten Kälteerzeugung</w:t>
      </w:r>
      <w:bookmarkEnd w:id="191"/>
    </w:p>
    <w:p w14:paraId="18BCBDCF" w14:textId="45D11690" w:rsidR="00232CB1" w:rsidRPr="00F41258" w:rsidRDefault="00232CB1" w:rsidP="009B6F99">
      <w:pPr>
        <w:pStyle w:val="Listenabsatz"/>
        <w:numPr>
          <w:ilvl w:val="0"/>
          <w:numId w:val="16"/>
        </w:numPr>
      </w:pPr>
      <w:r w:rsidRPr="00F41258">
        <w:t>Wärmegetriebene Kälteanlagen zur Nutzung von Wärme aus der Kraft-Wärme-Kopplung oder von Prozessabwärme</w:t>
      </w:r>
    </w:p>
    <w:p w14:paraId="1BCA6905" w14:textId="4B24C764" w:rsidR="00232CB1" w:rsidRPr="00F41258" w:rsidRDefault="00232CB1" w:rsidP="009B6F99">
      <w:pPr>
        <w:pStyle w:val="Listenabsatz"/>
        <w:numPr>
          <w:ilvl w:val="0"/>
          <w:numId w:val="16"/>
        </w:numPr>
      </w:pPr>
      <w:r w:rsidRPr="00F41258">
        <w:t>Kompressionskälteanlagen mit Leistungsregelung und einem Raumkühlungs-Jahresnutzungsgrad (</w:t>
      </w:r>
      <w:proofErr w:type="spellStart"/>
      <w:r w:rsidRPr="00F41258">
        <w:t>η</w:t>
      </w:r>
      <w:proofErr w:type="gramStart"/>
      <w:r w:rsidRPr="00F41258">
        <w:rPr>
          <w:vertAlign w:val="subscript"/>
        </w:rPr>
        <w:t>s,c</w:t>
      </w:r>
      <w:proofErr w:type="spellEnd"/>
      <w:proofErr w:type="gramEnd"/>
      <w:r w:rsidRPr="00F41258">
        <w:t>)</w:t>
      </w:r>
      <w:r w:rsidRPr="00F41258">
        <w:rPr>
          <w:vertAlign w:val="subscript"/>
        </w:rPr>
        <w:t>,</w:t>
      </w:r>
      <w:r w:rsidRPr="00F41258">
        <w:t xml:space="preserve"> der mindestens den nachfolgenden Werten entspricht:</w:t>
      </w:r>
    </w:p>
    <w:tbl>
      <w:tblPr>
        <w:tblW w:w="8426" w:type="dxa"/>
        <w:tblInd w:w="216" w:type="dxa"/>
        <w:tblBorders>
          <w:top w:val="single" w:sz="4" w:space="0" w:color="auto"/>
          <w:left w:val="single" w:sz="4" w:space="0" w:color="auto"/>
          <w:bottom w:val="single" w:sz="4" w:space="0" w:color="auto"/>
          <w:right w:val="single" w:sz="4" w:space="0" w:color="auto"/>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6269"/>
        <w:gridCol w:w="2157"/>
      </w:tblGrid>
      <w:tr w:rsidR="00232CB1" w:rsidRPr="00F41258" w14:paraId="5E3DFFD9" w14:textId="77777777" w:rsidTr="00D444F4">
        <w:trPr>
          <w:trHeight w:val="334"/>
        </w:trPr>
        <w:tc>
          <w:tcPr>
            <w:tcW w:w="6269" w:type="dxa"/>
            <w:vAlign w:val="center"/>
          </w:tcPr>
          <w:p w14:paraId="3F2BAED9" w14:textId="77777777" w:rsidR="00232CB1" w:rsidRPr="00F41258" w:rsidRDefault="00232CB1" w:rsidP="00583FF0">
            <w:r w:rsidRPr="00F41258">
              <w:t>Kühlgeräte, Antrieb mit einem Elektromotor</w:t>
            </w:r>
          </w:p>
        </w:tc>
        <w:tc>
          <w:tcPr>
            <w:tcW w:w="2157" w:type="dxa"/>
            <w:vAlign w:val="center"/>
          </w:tcPr>
          <w:p w14:paraId="09DF7FFF" w14:textId="77777777" w:rsidR="00232CB1" w:rsidRPr="00F41258" w:rsidRDefault="00232CB1" w:rsidP="00583FF0">
            <w:proofErr w:type="spellStart"/>
            <w:r w:rsidRPr="00F41258">
              <w:t>η</w:t>
            </w:r>
            <w:proofErr w:type="gramStart"/>
            <w:r w:rsidRPr="00F41258">
              <w:rPr>
                <w:vertAlign w:val="subscript"/>
              </w:rPr>
              <w:t>s,c</w:t>
            </w:r>
            <w:proofErr w:type="spellEnd"/>
            <w:proofErr w:type="gramEnd"/>
          </w:p>
        </w:tc>
      </w:tr>
      <w:tr w:rsidR="00232CB1" w:rsidRPr="00F41258" w14:paraId="0AC5B148" w14:textId="77777777" w:rsidTr="00D444F4">
        <w:trPr>
          <w:trHeight w:val="334"/>
        </w:trPr>
        <w:tc>
          <w:tcPr>
            <w:tcW w:w="6269" w:type="dxa"/>
            <w:vAlign w:val="center"/>
          </w:tcPr>
          <w:p w14:paraId="0B8D1A1A" w14:textId="77777777" w:rsidR="00232CB1" w:rsidRPr="00F41258" w:rsidRDefault="00232CB1" w:rsidP="00583FF0">
            <w:r w:rsidRPr="00F41258">
              <w:t>Luft-Wasser-Kühler &lt; 400 kW</w:t>
            </w:r>
          </w:p>
        </w:tc>
        <w:tc>
          <w:tcPr>
            <w:tcW w:w="2157" w:type="dxa"/>
            <w:vAlign w:val="center"/>
          </w:tcPr>
          <w:p w14:paraId="3F2F0AFF" w14:textId="77777777" w:rsidR="00232CB1" w:rsidRPr="00F41258" w:rsidRDefault="00232CB1" w:rsidP="00583FF0">
            <w:r w:rsidRPr="00F41258">
              <w:t>≥ 175 %</w:t>
            </w:r>
          </w:p>
        </w:tc>
      </w:tr>
      <w:tr w:rsidR="00232CB1" w:rsidRPr="00F41258" w14:paraId="1D4204BE" w14:textId="77777777" w:rsidTr="00D444F4">
        <w:trPr>
          <w:trHeight w:val="334"/>
        </w:trPr>
        <w:tc>
          <w:tcPr>
            <w:tcW w:w="6269" w:type="dxa"/>
            <w:vAlign w:val="center"/>
          </w:tcPr>
          <w:p w14:paraId="5D2EC60F" w14:textId="77777777" w:rsidR="00232CB1" w:rsidRPr="00F41258" w:rsidRDefault="00232CB1" w:rsidP="00583FF0">
            <w:r w:rsidRPr="00F41258">
              <w:t>Luft-Wasser-Kühler ≥ 400 kW</w:t>
            </w:r>
          </w:p>
        </w:tc>
        <w:tc>
          <w:tcPr>
            <w:tcW w:w="2157" w:type="dxa"/>
            <w:vAlign w:val="center"/>
          </w:tcPr>
          <w:p w14:paraId="66712269" w14:textId="77777777" w:rsidR="00232CB1" w:rsidRPr="00F41258" w:rsidRDefault="00232CB1" w:rsidP="00583FF0">
            <w:r w:rsidRPr="00F41258">
              <w:t>≥ 195 %</w:t>
            </w:r>
          </w:p>
        </w:tc>
      </w:tr>
      <w:tr w:rsidR="00232CB1" w:rsidRPr="00F41258" w14:paraId="1A3A93B1" w14:textId="77777777" w:rsidTr="00D444F4">
        <w:trPr>
          <w:trHeight w:val="334"/>
        </w:trPr>
        <w:tc>
          <w:tcPr>
            <w:tcW w:w="6269" w:type="dxa"/>
            <w:vAlign w:val="center"/>
          </w:tcPr>
          <w:p w14:paraId="08BCA466" w14:textId="77777777" w:rsidR="00232CB1" w:rsidRPr="00F41258" w:rsidRDefault="00232CB1" w:rsidP="00583FF0">
            <w:r w:rsidRPr="00F41258">
              <w:t>Wasser/Sole-Wasser-Kühler &lt; 400 kW</w:t>
            </w:r>
          </w:p>
        </w:tc>
        <w:tc>
          <w:tcPr>
            <w:tcW w:w="2157" w:type="dxa"/>
            <w:vAlign w:val="center"/>
          </w:tcPr>
          <w:p w14:paraId="47FB9972" w14:textId="77777777" w:rsidR="00232CB1" w:rsidRPr="00F41258" w:rsidRDefault="00232CB1" w:rsidP="00583FF0">
            <w:r w:rsidRPr="00F41258">
              <w:t>≥ 215 %</w:t>
            </w:r>
          </w:p>
        </w:tc>
      </w:tr>
      <w:tr w:rsidR="00232CB1" w:rsidRPr="00F41258" w14:paraId="45A022A4" w14:textId="77777777" w:rsidTr="00D444F4">
        <w:trPr>
          <w:trHeight w:val="334"/>
        </w:trPr>
        <w:tc>
          <w:tcPr>
            <w:tcW w:w="6269" w:type="dxa"/>
            <w:vAlign w:val="center"/>
          </w:tcPr>
          <w:p w14:paraId="5440A8A5" w14:textId="77777777" w:rsidR="00232CB1" w:rsidRPr="00F41258" w:rsidRDefault="00232CB1" w:rsidP="00583FF0">
            <w:r w:rsidRPr="00F41258">
              <w:t>Wasser/Sole-Wasser-Kühler ≥ 400 &lt; 1 500 kW</w:t>
            </w:r>
          </w:p>
        </w:tc>
        <w:tc>
          <w:tcPr>
            <w:tcW w:w="2157" w:type="dxa"/>
            <w:vAlign w:val="center"/>
          </w:tcPr>
          <w:p w14:paraId="4F929663" w14:textId="77777777" w:rsidR="00232CB1" w:rsidRPr="00F41258" w:rsidRDefault="00232CB1" w:rsidP="00583FF0">
            <w:r w:rsidRPr="00F41258">
              <w:t>≥ 270 %</w:t>
            </w:r>
          </w:p>
        </w:tc>
      </w:tr>
      <w:tr w:rsidR="00232CB1" w:rsidRPr="00F41258" w14:paraId="53766269" w14:textId="77777777" w:rsidTr="00D444F4">
        <w:trPr>
          <w:trHeight w:val="334"/>
        </w:trPr>
        <w:tc>
          <w:tcPr>
            <w:tcW w:w="6269" w:type="dxa"/>
            <w:vAlign w:val="center"/>
          </w:tcPr>
          <w:p w14:paraId="2B5DBCC7" w14:textId="77777777" w:rsidR="00232CB1" w:rsidRPr="00F41258" w:rsidRDefault="00232CB1" w:rsidP="00583FF0">
            <w:r w:rsidRPr="00F41258">
              <w:t>Wasser/Sole-Wasser-Kühler ≥ 1 500 kW</w:t>
            </w:r>
          </w:p>
        </w:tc>
        <w:tc>
          <w:tcPr>
            <w:tcW w:w="2157" w:type="dxa"/>
            <w:vAlign w:val="center"/>
          </w:tcPr>
          <w:p w14:paraId="461FF7E8" w14:textId="77777777" w:rsidR="00232CB1" w:rsidRPr="00F41258" w:rsidRDefault="00232CB1" w:rsidP="00583FF0">
            <w:r w:rsidRPr="00F41258">
              <w:t>≥ 290 %</w:t>
            </w:r>
          </w:p>
        </w:tc>
      </w:tr>
      <w:tr w:rsidR="00232CB1" w:rsidRPr="00F41258" w14:paraId="6EA10A6C" w14:textId="77777777" w:rsidTr="00D444F4">
        <w:trPr>
          <w:trHeight w:val="334"/>
        </w:trPr>
        <w:tc>
          <w:tcPr>
            <w:tcW w:w="6269" w:type="dxa"/>
            <w:vAlign w:val="center"/>
          </w:tcPr>
          <w:p w14:paraId="7FAA3BE5" w14:textId="77777777" w:rsidR="00232CB1" w:rsidRPr="00F41258" w:rsidRDefault="00232CB1" w:rsidP="00583FF0">
            <w:r w:rsidRPr="00F41258">
              <w:t>Luft-Luft-Klimageräte ≤ 12 kW</w:t>
            </w:r>
          </w:p>
        </w:tc>
        <w:tc>
          <w:tcPr>
            <w:tcW w:w="2157" w:type="dxa"/>
            <w:vAlign w:val="center"/>
          </w:tcPr>
          <w:p w14:paraId="40C8B3A8" w14:textId="77777777" w:rsidR="00232CB1" w:rsidRPr="00F41258" w:rsidRDefault="00232CB1" w:rsidP="00583FF0">
            <w:r w:rsidRPr="00F41258">
              <w:t>≥ 241 %</w:t>
            </w:r>
          </w:p>
        </w:tc>
      </w:tr>
      <w:tr w:rsidR="00232CB1" w:rsidRPr="00F41258" w14:paraId="1D3F4FA1" w14:textId="77777777" w:rsidTr="00D444F4">
        <w:trPr>
          <w:trHeight w:val="334"/>
        </w:trPr>
        <w:tc>
          <w:tcPr>
            <w:tcW w:w="6269" w:type="dxa"/>
            <w:vAlign w:val="center"/>
          </w:tcPr>
          <w:p w14:paraId="3319BBA2" w14:textId="77777777" w:rsidR="00232CB1" w:rsidRPr="00F41258" w:rsidRDefault="00232CB1" w:rsidP="00583FF0">
            <w:r w:rsidRPr="00F41258">
              <w:t>Luft-Luft-Klimageräte &gt; 12 kW</w:t>
            </w:r>
          </w:p>
        </w:tc>
        <w:tc>
          <w:tcPr>
            <w:tcW w:w="2157" w:type="dxa"/>
            <w:vAlign w:val="center"/>
          </w:tcPr>
          <w:p w14:paraId="7D400CFD" w14:textId="77777777" w:rsidR="00232CB1" w:rsidRPr="00F41258" w:rsidRDefault="00232CB1" w:rsidP="00583FF0">
            <w:r w:rsidRPr="00F41258">
              <w:t>≥ 210 %</w:t>
            </w:r>
          </w:p>
        </w:tc>
      </w:tr>
      <w:tr w:rsidR="00232CB1" w:rsidRPr="00F41258" w14:paraId="7C7FDFB2" w14:textId="77777777" w:rsidTr="00D444F4">
        <w:trPr>
          <w:trHeight w:val="334"/>
        </w:trPr>
        <w:tc>
          <w:tcPr>
            <w:tcW w:w="6269" w:type="dxa"/>
            <w:vAlign w:val="center"/>
          </w:tcPr>
          <w:p w14:paraId="20DEA7EF" w14:textId="77777777" w:rsidR="00232CB1" w:rsidRPr="00F41258" w:rsidRDefault="00232CB1" w:rsidP="00583FF0">
            <w:proofErr w:type="spellStart"/>
            <w:r w:rsidRPr="00F41258">
              <w:t>Rooftop</w:t>
            </w:r>
            <w:proofErr w:type="spellEnd"/>
            <w:r w:rsidRPr="00F41258">
              <w:t>-Raumklimagerät</w:t>
            </w:r>
          </w:p>
        </w:tc>
        <w:tc>
          <w:tcPr>
            <w:tcW w:w="2157" w:type="dxa"/>
            <w:vAlign w:val="center"/>
          </w:tcPr>
          <w:p w14:paraId="18DD4A80" w14:textId="77777777" w:rsidR="00232CB1" w:rsidRPr="00F41258" w:rsidRDefault="00232CB1" w:rsidP="00583FF0">
            <w:r w:rsidRPr="00F41258">
              <w:t>≥ 160 %</w:t>
            </w:r>
          </w:p>
        </w:tc>
      </w:tr>
      <w:tr w:rsidR="00232CB1" w:rsidRPr="00F41258" w14:paraId="19214A82" w14:textId="77777777" w:rsidTr="00D444F4">
        <w:trPr>
          <w:trHeight w:val="334"/>
        </w:trPr>
        <w:tc>
          <w:tcPr>
            <w:tcW w:w="6269" w:type="dxa"/>
            <w:vAlign w:val="center"/>
          </w:tcPr>
          <w:p w14:paraId="50B5AFA4" w14:textId="77777777" w:rsidR="00232CB1" w:rsidRPr="00F41258" w:rsidRDefault="00232CB1" w:rsidP="00583FF0">
            <w:r w:rsidRPr="00F41258">
              <w:t>Kühlgeräte, Antrieb mit einem Verbrennungsmotor</w:t>
            </w:r>
          </w:p>
        </w:tc>
        <w:tc>
          <w:tcPr>
            <w:tcW w:w="2157" w:type="dxa"/>
            <w:vAlign w:val="center"/>
          </w:tcPr>
          <w:p w14:paraId="652009B5" w14:textId="77777777" w:rsidR="00232CB1" w:rsidRPr="00F41258" w:rsidRDefault="00232CB1" w:rsidP="00583FF0"/>
        </w:tc>
      </w:tr>
      <w:tr w:rsidR="00232CB1" w:rsidRPr="00F41258" w14:paraId="106804D0" w14:textId="77777777" w:rsidTr="00D444F4">
        <w:trPr>
          <w:trHeight w:val="334"/>
        </w:trPr>
        <w:tc>
          <w:tcPr>
            <w:tcW w:w="6269" w:type="dxa"/>
            <w:vAlign w:val="center"/>
          </w:tcPr>
          <w:p w14:paraId="2D342A54" w14:textId="77777777" w:rsidR="00232CB1" w:rsidRPr="00F41258" w:rsidRDefault="00232CB1" w:rsidP="00583FF0">
            <w:r w:rsidRPr="00F41258">
              <w:t>Luft-Wasser-Kühler &lt; 400 kW</w:t>
            </w:r>
          </w:p>
        </w:tc>
        <w:tc>
          <w:tcPr>
            <w:tcW w:w="2157" w:type="dxa"/>
            <w:vAlign w:val="center"/>
          </w:tcPr>
          <w:p w14:paraId="4548AED5" w14:textId="77777777" w:rsidR="00232CB1" w:rsidRPr="00F41258" w:rsidRDefault="00232CB1" w:rsidP="00583FF0">
            <w:r w:rsidRPr="00F41258">
              <w:t>≥ 160 %</w:t>
            </w:r>
          </w:p>
        </w:tc>
      </w:tr>
      <w:tr w:rsidR="00232CB1" w:rsidRPr="00F41258" w14:paraId="39C8FDA6" w14:textId="77777777" w:rsidTr="00D444F4">
        <w:trPr>
          <w:trHeight w:val="334"/>
        </w:trPr>
        <w:tc>
          <w:tcPr>
            <w:tcW w:w="6269" w:type="dxa"/>
            <w:vAlign w:val="center"/>
          </w:tcPr>
          <w:p w14:paraId="018D5477" w14:textId="77777777" w:rsidR="00232CB1" w:rsidRPr="00F41258" w:rsidRDefault="00232CB1" w:rsidP="00583FF0">
            <w:r w:rsidRPr="00F41258">
              <w:t>Luft-Wasser-Kühler ≥ 400 kW</w:t>
            </w:r>
          </w:p>
        </w:tc>
        <w:tc>
          <w:tcPr>
            <w:tcW w:w="2157" w:type="dxa"/>
            <w:vAlign w:val="center"/>
          </w:tcPr>
          <w:p w14:paraId="25EE15D9" w14:textId="77777777" w:rsidR="00232CB1" w:rsidRPr="00F41258" w:rsidRDefault="00232CB1" w:rsidP="00583FF0">
            <w:r w:rsidRPr="00F41258">
              <w:t>≥ 170 %</w:t>
            </w:r>
          </w:p>
        </w:tc>
      </w:tr>
      <w:tr w:rsidR="00232CB1" w:rsidRPr="00F41258" w14:paraId="0FCA12CA" w14:textId="77777777" w:rsidTr="00D444F4">
        <w:trPr>
          <w:trHeight w:val="334"/>
        </w:trPr>
        <w:tc>
          <w:tcPr>
            <w:tcW w:w="6269" w:type="dxa"/>
            <w:vAlign w:val="center"/>
          </w:tcPr>
          <w:p w14:paraId="6EB7AA26" w14:textId="77777777" w:rsidR="00232CB1" w:rsidRPr="00F41258" w:rsidRDefault="00232CB1" w:rsidP="00583FF0">
            <w:r w:rsidRPr="00F41258">
              <w:t>Luft-Luft-Klimageräte</w:t>
            </w:r>
          </w:p>
        </w:tc>
        <w:tc>
          <w:tcPr>
            <w:tcW w:w="2157" w:type="dxa"/>
            <w:vAlign w:val="center"/>
          </w:tcPr>
          <w:p w14:paraId="17075810" w14:textId="77777777" w:rsidR="00232CB1" w:rsidRPr="00F41258" w:rsidRDefault="00232CB1" w:rsidP="00583FF0">
            <w:r w:rsidRPr="00F41258">
              <w:t>≥ 185 %</w:t>
            </w:r>
          </w:p>
        </w:tc>
      </w:tr>
    </w:tbl>
    <w:p w14:paraId="563F92F8" w14:textId="77777777" w:rsidR="00232CB1" w:rsidRPr="00F41258" w:rsidRDefault="00232CB1" w:rsidP="00583FF0"/>
    <w:p w14:paraId="5FF607C9" w14:textId="2ED6B433" w:rsidR="00232CB1" w:rsidRPr="00F41258" w:rsidRDefault="00232CB1" w:rsidP="009B6F99">
      <w:pPr>
        <w:pStyle w:val="Listenabsatz"/>
        <w:numPr>
          <w:ilvl w:val="0"/>
          <w:numId w:val="16"/>
        </w:numPr>
      </w:pPr>
      <w:r w:rsidRPr="00F41258">
        <w:t>Die für den Wärmebereich genannten Maßnahmen zur Verteilung und Übergabe gelten analog auch für den Kältebereich.</w:t>
      </w:r>
    </w:p>
    <w:p w14:paraId="7C95A619" w14:textId="62D8FABB" w:rsidR="00232CB1" w:rsidRPr="00F41258" w:rsidRDefault="00232CB1" w:rsidP="009B6F99">
      <w:pPr>
        <w:pStyle w:val="Listenabsatz"/>
        <w:numPr>
          <w:ilvl w:val="0"/>
          <w:numId w:val="16"/>
        </w:numPr>
      </w:pPr>
      <w:r w:rsidRPr="00F41258">
        <w:t>Voraussetzung für die Förderung von Maßnahmen zur Wärme-/Kälteerzeugung, -verteilung und -speicherung ist bei hydraulisch betriebenen Systemen die Durchführung eines hydraulischen Abgleichs des angeschlossenen Verteil-systems.</w:t>
      </w:r>
    </w:p>
    <w:p w14:paraId="1412057F" w14:textId="3F45CF06" w:rsidR="00232CB1" w:rsidRPr="00F41258" w:rsidRDefault="00232CB1" w:rsidP="00EB6174">
      <w:pPr>
        <w:pStyle w:val="berschrift3"/>
      </w:pPr>
      <w:bookmarkStart w:id="192" w:name="_Toc144908060"/>
      <w:r w:rsidRPr="00F41258">
        <w:lastRenderedPageBreak/>
        <w:t>Nachweise</w:t>
      </w:r>
      <w:bookmarkEnd w:id="192"/>
    </w:p>
    <w:p w14:paraId="126988B8" w14:textId="6C1E41E9" w:rsidR="00232CB1" w:rsidRPr="00F41258" w:rsidRDefault="00232CB1" w:rsidP="009B6F99">
      <w:pPr>
        <w:pStyle w:val="Listenabsatz"/>
        <w:numPr>
          <w:ilvl w:val="0"/>
          <w:numId w:val="16"/>
        </w:numPr>
      </w:pPr>
      <w:r w:rsidRPr="00F41258">
        <w:t>Bestätigung eines Experten der Energieeffizienz-Experten-Liste (</w:t>
      </w:r>
      <w:hyperlink r:id="rId19" w:tooltip="http://www.energie-effizienz-experten.de" w:history="1">
        <w:r w:rsidRPr="00F41258">
          <w:rPr>
            <w:u w:val="single"/>
          </w:rPr>
          <w:t>www.energie-effizienz-experten.de</w:t>
        </w:r>
      </w:hyperlink>
      <w:r w:rsidRPr="00F41258">
        <w:t>)</w:t>
      </w:r>
    </w:p>
    <w:p w14:paraId="75AEBB6E" w14:textId="36496AFA" w:rsidR="00232CB1" w:rsidRPr="00F41258" w:rsidRDefault="00232CB1" w:rsidP="009B6F99">
      <w:pPr>
        <w:pStyle w:val="Listenabsatz"/>
        <w:numPr>
          <w:ilvl w:val="0"/>
          <w:numId w:val="16"/>
        </w:numPr>
      </w:pPr>
      <w:r w:rsidRPr="00F41258">
        <w:t>Nachweis des hydraulischen Abgleichs (Fachunternehmererklärung)</w:t>
      </w:r>
    </w:p>
    <w:p w14:paraId="4B595AD4" w14:textId="37C1E61C" w:rsidR="00232CB1" w:rsidRPr="00F41258" w:rsidRDefault="00232CB1" w:rsidP="009B6F99">
      <w:pPr>
        <w:pStyle w:val="Listenabsatz"/>
        <w:numPr>
          <w:ilvl w:val="0"/>
          <w:numId w:val="16"/>
        </w:numPr>
      </w:pPr>
      <w:r w:rsidRPr="00F41258">
        <w:t>Herstellernachweise zu den produktspezifischen Kenndaten</w:t>
      </w:r>
    </w:p>
    <w:p w14:paraId="3DFE5833" w14:textId="4D6195B3" w:rsidR="00232CB1" w:rsidRPr="00F41258" w:rsidRDefault="00232CB1" w:rsidP="009B6F99">
      <w:pPr>
        <w:pStyle w:val="Listenabsatz"/>
        <w:numPr>
          <w:ilvl w:val="0"/>
          <w:numId w:val="16"/>
        </w:numPr>
      </w:pPr>
      <w:r w:rsidRPr="00F41258">
        <w:t>Vorhabenbezogene Rechnungen und Nachweise über die geleisteten Zahlungen, Aufstellung der förderfähigen Investitionsmaßnahmen und -kosten</w:t>
      </w:r>
    </w:p>
    <w:p w14:paraId="618A668E" w14:textId="157BAB95" w:rsidR="00232CB1" w:rsidRPr="00F41258" w:rsidRDefault="00232CB1" w:rsidP="00583FF0">
      <w:pPr>
        <w:pStyle w:val="berschrift2"/>
      </w:pPr>
      <w:bookmarkStart w:id="193" w:name="_Toc112915717"/>
      <w:bookmarkStart w:id="194" w:name="_Toc144908061"/>
      <w:r w:rsidRPr="00F41258">
        <w:t>Nichtwohngebäude: Energieeffiziente Innenbeleuchtungssysteme</w:t>
      </w:r>
      <w:bookmarkEnd w:id="193"/>
      <w:bookmarkEnd w:id="194"/>
    </w:p>
    <w:p w14:paraId="0A30AC78" w14:textId="6A6FA333" w:rsidR="00082638" w:rsidRPr="00F41258" w:rsidRDefault="00082638" w:rsidP="00EB6174">
      <w:pPr>
        <w:pStyle w:val="berschrift3"/>
      </w:pPr>
      <w:bookmarkStart w:id="195" w:name="_Toc144908062"/>
      <w:r w:rsidRPr="00F41258">
        <w:t>Anforderungen</w:t>
      </w:r>
      <w:bookmarkEnd w:id="195"/>
    </w:p>
    <w:p w14:paraId="158D411C" w14:textId="5C42CFF4" w:rsidR="00232CB1" w:rsidRPr="00F41258" w:rsidRDefault="00232CB1" w:rsidP="00583FF0">
      <w:r w:rsidRPr="00F41258">
        <w:t>Die Systemlichtausbeute des eingebauten Leuchtmittels mit Betriebsgerät (</w:t>
      </w:r>
      <w:proofErr w:type="spellStart"/>
      <w:r w:rsidRPr="00F41258">
        <w:t>Leuchtenlichtausbeute</w:t>
      </w:r>
      <w:proofErr w:type="spellEnd"/>
      <w:r w:rsidRPr="00F41258">
        <w:t>) muss mindestens</w:t>
      </w:r>
    </w:p>
    <w:p w14:paraId="67079BBF" w14:textId="2635C885" w:rsidR="00232CB1" w:rsidRPr="00F41258" w:rsidRDefault="00232CB1" w:rsidP="009B6F99">
      <w:pPr>
        <w:pStyle w:val="Listenabsatz"/>
        <w:numPr>
          <w:ilvl w:val="0"/>
          <w:numId w:val="16"/>
        </w:numPr>
      </w:pPr>
      <w:r w:rsidRPr="00F41258">
        <w:t>140 Lumen je Watt bei LED-Lichtbandleuchten</w:t>
      </w:r>
    </w:p>
    <w:p w14:paraId="29EEE0A7" w14:textId="7D733FDD" w:rsidR="00232CB1" w:rsidRPr="00F41258" w:rsidRDefault="00232CB1" w:rsidP="009B6F99">
      <w:pPr>
        <w:pStyle w:val="Listenabsatz"/>
        <w:numPr>
          <w:ilvl w:val="0"/>
          <w:numId w:val="16"/>
        </w:numPr>
      </w:pPr>
      <w:r w:rsidRPr="00F41258">
        <w:t>120 Lumen je Watt bei allen anderen Beleuchtungssystemen</w:t>
      </w:r>
    </w:p>
    <w:p w14:paraId="4C2D4095" w14:textId="77777777" w:rsidR="00232CB1" w:rsidRPr="00F41258" w:rsidRDefault="00232CB1" w:rsidP="00583FF0">
      <w:r w:rsidRPr="00F41258">
        <w:t>betragen.</w:t>
      </w:r>
    </w:p>
    <w:p w14:paraId="7F136CC4" w14:textId="77777777" w:rsidR="00232CB1" w:rsidRPr="00F41258" w:rsidRDefault="00232CB1" w:rsidP="00583FF0">
      <w:r w:rsidRPr="00F41258">
        <w:t>Der Lichtstromerhalt der eingesetzten Leuchten muss mindestens folgende Werte erreichen:</w:t>
      </w:r>
    </w:p>
    <w:p w14:paraId="274096D6" w14:textId="726DE8DB" w:rsidR="00232CB1" w:rsidRPr="00F41258" w:rsidRDefault="00232CB1" w:rsidP="009B6F99">
      <w:pPr>
        <w:pStyle w:val="Listenabsatz"/>
        <w:numPr>
          <w:ilvl w:val="0"/>
          <w:numId w:val="16"/>
        </w:numPr>
      </w:pPr>
      <w:r w:rsidRPr="00F41258">
        <w:t>Für LED-Leuchten ≥ 80 % (L80) bei 50 000 Betriebsstunden.</w:t>
      </w:r>
    </w:p>
    <w:p w14:paraId="73E75E7D" w14:textId="75774AC6" w:rsidR="00232CB1" w:rsidRPr="00F41258" w:rsidRDefault="00232CB1" w:rsidP="009B6F99">
      <w:pPr>
        <w:pStyle w:val="Listenabsatz"/>
        <w:numPr>
          <w:ilvl w:val="0"/>
          <w:numId w:val="16"/>
        </w:numPr>
      </w:pPr>
      <w:r w:rsidRPr="00F41258">
        <w:t>Für alle anderen Beleuchtungstypen größer oder gleich 90 % bei 16 000 Betriebsstunden.</w:t>
      </w:r>
    </w:p>
    <w:p w14:paraId="0E20DDF2" w14:textId="45C19E48" w:rsidR="00232CB1" w:rsidRPr="00F41258" w:rsidRDefault="00232CB1" w:rsidP="00583FF0">
      <w:r w:rsidRPr="00F41258">
        <w:t xml:space="preserve">Förderfähig ist der komplette </w:t>
      </w:r>
      <w:proofErr w:type="spellStart"/>
      <w:r w:rsidRPr="00F41258">
        <w:t>Leuchtentausch</w:t>
      </w:r>
      <w:proofErr w:type="spellEnd"/>
      <w:r w:rsidRPr="00F41258">
        <w:t xml:space="preserve"> innerhalb des Gebäudes einschließlich sonstiger erforderlicher Nebenarbeiten und Komponenten. Lampen, die für den späteren Einbau oder für den Einbau in bestehende Bestandsleuchten vorgesehen sind, </w:t>
      </w:r>
      <w:r w:rsidR="00AD224D" w:rsidRPr="00F41258">
        <w:t xml:space="preserve">z. B. </w:t>
      </w:r>
      <w:proofErr w:type="spellStart"/>
      <w:r w:rsidRPr="00F41258">
        <w:t>Retrofit</w:t>
      </w:r>
      <w:proofErr w:type="spellEnd"/>
      <w:r w:rsidRPr="00F41258">
        <w:t>, Ersatzlampen, sind nicht förderfähig.</w:t>
      </w:r>
    </w:p>
    <w:p w14:paraId="1DEF3C32" w14:textId="2B32F8E1" w:rsidR="00232CB1" w:rsidRPr="00F41258" w:rsidRDefault="00232CB1" w:rsidP="00EB6174">
      <w:pPr>
        <w:pStyle w:val="berschrift3"/>
      </w:pPr>
      <w:bookmarkStart w:id="196" w:name="_Toc144908063"/>
      <w:r w:rsidRPr="00F41258">
        <w:t>Nachweise</w:t>
      </w:r>
      <w:bookmarkEnd w:id="196"/>
    </w:p>
    <w:p w14:paraId="7DE5153D" w14:textId="5FD372F1" w:rsidR="00232CB1" w:rsidRPr="00F41258" w:rsidRDefault="00232CB1" w:rsidP="009B6F99">
      <w:pPr>
        <w:pStyle w:val="Listenabsatz"/>
        <w:numPr>
          <w:ilvl w:val="0"/>
          <w:numId w:val="16"/>
        </w:numPr>
      </w:pPr>
      <w:r w:rsidRPr="00F41258">
        <w:t>Bestätigung eines Experten der Energieeffizienz-Experten-Liste (</w:t>
      </w:r>
      <w:hyperlink r:id="rId20" w:tooltip="http://www.energie-effizienz-experten.de" w:history="1">
        <w:r w:rsidRPr="00F41258">
          <w:rPr>
            <w:u w:val="single"/>
          </w:rPr>
          <w:t>www.energie-effizienz-experten.de</w:t>
        </w:r>
      </w:hyperlink>
      <w:r w:rsidRPr="00F41258">
        <w:t>)</w:t>
      </w:r>
    </w:p>
    <w:p w14:paraId="586CC583" w14:textId="0C8F0685" w:rsidR="00232CB1" w:rsidRPr="00F41258" w:rsidRDefault="00232CB1" w:rsidP="009B6F99">
      <w:pPr>
        <w:pStyle w:val="Listenabsatz"/>
        <w:numPr>
          <w:ilvl w:val="0"/>
          <w:numId w:val="16"/>
        </w:numPr>
      </w:pPr>
      <w:r w:rsidRPr="00F41258">
        <w:t xml:space="preserve">Herstellernachweise zu den Produktmerkmalen </w:t>
      </w:r>
      <w:proofErr w:type="spellStart"/>
      <w:r w:rsidRPr="00F41258">
        <w:t>Leuchtenlichtausbeute</w:t>
      </w:r>
      <w:proofErr w:type="spellEnd"/>
      <w:r w:rsidRPr="00F41258">
        <w:t>, Bemessungslebensdauer und Lichtstromerhalt</w:t>
      </w:r>
    </w:p>
    <w:p w14:paraId="5FE21246" w14:textId="0EEDEF76" w:rsidR="00232CB1" w:rsidRPr="00F41258" w:rsidRDefault="00232CB1" w:rsidP="009B6F99">
      <w:pPr>
        <w:pStyle w:val="Listenabsatz"/>
        <w:numPr>
          <w:ilvl w:val="0"/>
          <w:numId w:val="16"/>
        </w:numPr>
      </w:pPr>
      <w:r w:rsidRPr="00F41258">
        <w:t>Vorhabenbezogene Rechnungen und Nachweise über die geleisteten Zahlungen, Aufstellung der förderfähigen Investitionsmaßnahmen und -kosten</w:t>
      </w:r>
    </w:p>
    <w:p w14:paraId="7EE3DF8B" w14:textId="1CF6347B" w:rsidR="00232CB1" w:rsidRPr="00F41258" w:rsidRDefault="00232CB1" w:rsidP="00583FF0">
      <w:pPr>
        <w:pStyle w:val="berschrift1"/>
      </w:pPr>
      <w:bookmarkStart w:id="197" w:name="_Toc112915718"/>
      <w:bookmarkStart w:id="198" w:name="_Toc144908064"/>
      <w:r w:rsidRPr="00F41258">
        <w:t>Anlagen zur Wärmeerzeugung</w:t>
      </w:r>
      <w:bookmarkEnd w:id="197"/>
      <w:bookmarkEnd w:id="198"/>
    </w:p>
    <w:p w14:paraId="0703C8B7" w14:textId="77777777" w:rsidR="00232CB1" w:rsidRPr="00F41258" w:rsidRDefault="00232CB1" w:rsidP="00583FF0">
      <w:r w:rsidRPr="00F41258">
        <w:t>Gefördert werden die Errichtung und Erweiterung von effizienten</w:t>
      </w:r>
    </w:p>
    <w:p w14:paraId="3737D9A4" w14:textId="5AD14BD8" w:rsidR="00232CB1" w:rsidRPr="00F41258" w:rsidRDefault="00232CB1" w:rsidP="009B6F99">
      <w:pPr>
        <w:pStyle w:val="Listenabsatz"/>
        <w:numPr>
          <w:ilvl w:val="0"/>
          <w:numId w:val="16"/>
        </w:numPr>
      </w:pPr>
      <w:r w:rsidRPr="00F41258">
        <w:t>Wärmerzeugern,</w:t>
      </w:r>
    </w:p>
    <w:p w14:paraId="74A53527" w14:textId="6F184477" w:rsidR="00232CB1" w:rsidRPr="00F41258" w:rsidRDefault="00232CB1" w:rsidP="009B6F99">
      <w:pPr>
        <w:pStyle w:val="Listenabsatz"/>
        <w:numPr>
          <w:ilvl w:val="0"/>
          <w:numId w:val="16"/>
        </w:numPr>
      </w:pPr>
      <w:r w:rsidRPr="00F41258">
        <w:t>Anlagen zur Heizungsunterstützung,</w:t>
      </w:r>
    </w:p>
    <w:p w14:paraId="00F50B70" w14:textId="0CAF186F" w:rsidR="00232CB1" w:rsidRPr="00F41258" w:rsidRDefault="00232CB1" w:rsidP="009B6F99">
      <w:pPr>
        <w:pStyle w:val="Listenabsatz"/>
        <w:numPr>
          <w:ilvl w:val="0"/>
          <w:numId w:val="27"/>
        </w:numPr>
      </w:pPr>
      <w:r w:rsidRPr="00F41258">
        <w:t>Gebäudenetzen sowie deren Umbau</w:t>
      </w:r>
    </w:p>
    <w:p w14:paraId="53C47B50" w14:textId="77777777" w:rsidR="00232CB1" w:rsidRPr="00F41258" w:rsidRDefault="00232CB1" w:rsidP="00583FF0">
      <w:r w:rsidRPr="00F41258">
        <w:t>oder der Anschluss bzw. die Erneuerung eines Anschlusses an ein</w:t>
      </w:r>
    </w:p>
    <w:p w14:paraId="33BB8BAC" w14:textId="3449167E" w:rsidR="00232CB1" w:rsidRPr="00F41258" w:rsidRDefault="00232CB1" w:rsidP="009B6F99">
      <w:pPr>
        <w:pStyle w:val="Listenabsatz"/>
        <w:numPr>
          <w:ilvl w:val="0"/>
          <w:numId w:val="27"/>
        </w:numPr>
      </w:pPr>
      <w:r w:rsidRPr="00F41258">
        <w:t>Gebäudenetz oder Wärmenetz</w:t>
      </w:r>
      <w:r w:rsidR="00C112F2" w:rsidRPr="00F41258">
        <w:t>.</w:t>
      </w:r>
    </w:p>
    <w:p w14:paraId="3CEA2219" w14:textId="4C7C54C7" w:rsidR="00232CB1" w:rsidRPr="00F41258" w:rsidRDefault="00232CB1" w:rsidP="00583FF0">
      <w:pPr>
        <w:pStyle w:val="berschrift2"/>
      </w:pPr>
      <w:bookmarkStart w:id="199" w:name="_Übergreifende_Technische_Mindestanf"/>
      <w:bookmarkStart w:id="200" w:name="_Toc112915719"/>
      <w:bookmarkStart w:id="201" w:name="_Toc144908065"/>
      <w:bookmarkEnd w:id="199"/>
      <w:r w:rsidRPr="00F41258">
        <w:t>Übergreifende Technische Mindestanforderungen</w:t>
      </w:r>
      <w:bookmarkEnd w:id="200"/>
      <w:bookmarkEnd w:id="201"/>
    </w:p>
    <w:p w14:paraId="7D2AE009" w14:textId="02270819" w:rsidR="00232CB1" w:rsidRPr="00F41258" w:rsidRDefault="00232CB1" w:rsidP="00583FF0">
      <w:r w:rsidRPr="00F41258">
        <w:lastRenderedPageBreak/>
        <w:t xml:space="preserve">Bei der Planung und der Ausführung sind stets die geltenden nationalen und europäischen Bestimmungen sowie die allgemein anerkannten Regeln der Technik zu berücksichtigen. Zur korrekten Auslegung einer Heizungsanlage (Vermeidung von über- oder unterdimensionierten Anlagen) </w:t>
      </w:r>
      <w:r w:rsidR="000D28C8" w:rsidRPr="00F41258">
        <w:t xml:space="preserve">ist </w:t>
      </w:r>
      <w:r w:rsidRPr="00F41258">
        <w:t xml:space="preserve">die Dimensionierung der Anlage anhand einer Heizlastermittlung nach DIN EN 12831 </w:t>
      </w:r>
      <w:r w:rsidR="001554CF" w:rsidRPr="00F41258">
        <w:t>durchzuführen</w:t>
      </w:r>
      <w:r w:rsidRPr="00F41258">
        <w:t xml:space="preserve">. </w:t>
      </w:r>
      <w:r w:rsidR="001554CF" w:rsidRPr="00F41258">
        <w:t xml:space="preserve">Dabei sind Vereinfachungen möglich </w:t>
      </w:r>
      <w:r w:rsidR="005464C5" w:rsidRPr="00F41258">
        <w:t xml:space="preserve">(siehe </w:t>
      </w:r>
      <w:r w:rsidRPr="00F41258">
        <w:t xml:space="preserve">Leistungsbeschreibung </w:t>
      </w:r>
      <w:r w:rsidR="005464C5" w:rsidRPr="00F41258">
        <w:t xml:space="preserve">im </w:t>
      </w:r>
      <w:r w:rsidRPr="00F41258">
        <w:t xml:space="preserve">Bestätigungsformular für Einzelmaßnahmen </w:t>
      </w:r>
      <w:r w:rsidR="005464C5" w:rsidRPr="00F41258">
        <w:t>der „</w:t>
      </w:r>
      <w:proofErr w:type="spellStart"/>
      <w:r w:rsidR="005464C5" w:rsidRPr="00F41258">
        <w:t>VdZ</w:t>
      </w:r>
      <w:proofErr w:type="spellEnd"/>
      <w:r w:rsidR="005464C5" w:rsidRPr="00F41258">
        <w:t xml:space="preserve"> − Wirtschaftsvereinigung Gebäude und Energie e.V.“ (</w:t>
      </w:r>
      <w:hyperlink r:id="rId21" w:history="1">
        <w:r w:rsidR="00502597" w:rsidRPr="00F41258">
          <w:rPr>
            <w:rStyle w:val="Hyperlink"/>
          </w:rPr>
          <w:t>www.vdzev.de/broschueren/formulare-hydraulischer-abgleich</w:t>
        </w:r>
      </w:hyperlink>
      <w:r w:rsidR="005464C5" w:rsidRPr="00F41258">
        <w:t>)</w:t>
      </w:r>
      <w:r w:rsidR="00502597" w:rsidRPr="00F41258">
        <w:t xml:space="preserve">. </w:t>
      </w:r>
      <w:r w:rsidRPr="00F41258">
        <w:t>Zudem ist die Durchführung folgender Maßnahmen und die Installation folgender technischer Komponenten für eine Förderung grundsätzlich erforderlich:</w:t>
      </w:r>
    </w:p>
    <w:p w14:paraId="70E1B9FE" w14:textId="69410575" w:rsidR="00232CB1" w:rsidRPr="00F41258" w:rsidRDefault="00232CB1" w:rsidP="009B6F99">
      <w:pPr>
        <w:pStyle w:val="Listenabsatz"/>
        <w:numPr>
          <w:ilvl w:val="0"/>
          <w:numId w:val="16"/>
        </w:numPr>
      </w:pPr>
      <w:r w:rsidRPr="00F41258">
        <w:t>Alle Energieverbräuche sowie alle erzeugten Wärmemengen eines förderfähigen Wärmerzeugers müssen messtechnisch erfasst werden.</w:t>
      </w:r>
    </w:p>
    <w:p w14:paraId="1EA947E0" w14:textId="6008D650" w:rsidR="00232CB1" w:rsidRPr="00F41258" w:rsidRDefault="00232CB1" w:rsidP="009B6F99">
      <w:pPr>
        <w:pStyle w:val="Listenabsatz"/>
        <w:numPr>
          <w:ilvl w:val="0"/>
          <w:numId w:val="16"/>
        </w:numPr>
      </w:pPr>
      <w:r w:rsidRPr="00F41258">
        <w:t>Alle förderfähigen Heizsysteme müssen mit einer Energieverbrauchs- und Effizienzanzeige ausgestattet sein.</w:t>
      </w:r>
    </w:p>
    <w:p w14:paraId="5F3726ED" w14:textId="3E3701EE" w:rsidR="00232CB1" w:rsidRPr="00F41258" w:rsidRDefault="00232CB1" w:rsidP="009B6F99">
      <w:pPr>
        <w:pStyle w:val="Listenabsatz"/>
        <w:numPr>
          <w:ilvl w:val="0"/>
          <w:numId w:val="16"/>
        </w:numPr>
      </w:pPr>
      <w:r w:rsidRPr="00F41258">
        <w:t>Ausnahmen: Bei förderfähigen Biomasseheizungen müssen lediglich die erzeugten Wärmemengen gemessen werden. Eine Effizienzanzeigepflicht besteht nicht. Bei förderfähigen Wärmepumpen, die über das Medium Luft heizen, müssen die Wärmemengen gemessen werden. Eine Energieverbrauchsbilanzierung nach DIN EN 12831 Beiblatt 2 ist dabei zulässig.</w:t>
      </w:r>
      <w:r w:rsidR="006E2B4E" w:rsidRPr="00F41258">
        <w:t xml:space="preserve"> Bei Wärme- und Gebäudenetzanschlüssen sind keine Energieverbrauchs- oder Effizienzanzeige</w:t>
      </w:r>
      <w:r w:rsidR="0083004D" w:rsidRPr="00F41258">
        <w:t>n</w:t>
      </w:r>
      <w:r w:rsidR="006E2B4E" w:rsidRPr="00F41258">
        <w:t xml:space="preserve"> notwendig.</w:t>
      </w:r>
    </w:p>
    <w:p w14:paraId="715B7471" w14:textId="3F4FCEEF" w:rsidR="00590E4E" w:rsidRPr="00F41258" w:rsidRDefault="00232CB1" w:rsidP="009B6F99">
      <w:pPr>
        <w:pStyle w:val="Listenabsatz"/>
        <w:numPr>
          <w:ilvl w:val="0"/>
          <w:numId w:val="16"/>
        </w:numPr>
      </w:pPr>
      <w:r w:rsidRPr="00F41258">
        <w:t xml:space="preserve">Durchführung eines hydraulischen Abgleichs nach Verfahren B gemäß Bestätigungsformular des hydraulischen Abgleichs </w:t>
      </w:r>
      <w:r w:rsidR="00DB3CF2" w:rsidRPr="00F41258">
        <w:t>der „</w:t>
      </w:r>
      <w:proofErr w:type="spellStart"/>
      <w:r w:rsidR="00DB3CF2" w:rsidRPr="00F41258">
        <w:t>VdZ</w:t>
      </w:r>
      <w:proofErr w:type="spellEnd"/>
      <w:r w:rsidR="00DB3CF2" w:rsidRPr="00F41258">
        <w:t xml:space="preserve"> − Wirtschaftsvereinigung Gebäude und Energie e.V.“ (www.vdzev.de/broschueren/formulare-hydraulischer-abgleich)</w:t>
      </w:r>
      <w:r w:rsidRPr="00F41258">
        <w:t>. Bei luftgeführten Systemen sind die Luftvolumenströme anzupassen.</w:t>
      </w:r>
    </w:p>
    <w:p w14:paraId="7F86D62A" w14:textId="4817BC2F" w:rsidR="00BB430D" w:rsidRPr="00F41258" w:rsidRDefault="00BB430D" w:rsidP="009B6F99">
      <w:pPr>
        <w:pStyle w:val="Listenabsatz"/>
        <w:numPr>
          <w:ilvl w:val="0"/>
          <w:numId w:val="16"/>
        </w:numPr>
      </w:pPr>
      <w:r w:rsidRPr="00F41258">
        <w:t>Rohrleitungen sind mindestens gemäß den Anforderungen des jeweils geltenden GEG zu dämmen.</w:t>
      </w:r>
    </w:p>
    <w:p w14:paraId="7908C363" w14:textId="23FADDFE" w:rsidR="00E06A1A" w:rsidRPr="00F41258" w:rsidRDefault="00232CB1" w:rsidP="009B6F99">
      <w:pPr>
        <w:pStyle w:val="Listenabsatz"/>
        <w:numPr>
          <w:ilvl w:val="0"/>
          <w:numId w:val="16"/>
        </w:numPr>
      </w:pPr>
      <w:r w:rsidRPr="00F41258">
        <w:t>Anpassung der Heizkurve an das Gebäude.</w:t>
      </w:r>
      <w:r w:rsidR="00E06A1A" w:rsidRPr="00F41258">
        <w:t xml:space="preserve"> </w:t>
      </w:r>
    </w:p>
    <w:p w14:paraId="6A232CBE" w14:textId="2E6E6294" w:rsidR="00EF4502" w:rsidRPr="00F41258" w:rsidRDefault="00EF4502" w:rsidP="009B6F99">
      <w:pPr>
        <w:pStyle w:val="Listenabsatz"/>
        <w:numPr>
          <w:ilvl w:val="0"/>
          <w:numId w:val="16"/>
        </w:numPr>
      </w:pPr>
      <w:r w:rsidRPr="00F41258">
        <w:t xml:space="preserve">Bei Verfügbarkeit einer Internetverbindung und einer technischen Schnittstelle am Gerät, ist die </w:t>
      </w:r>
      <w:r w:rsidR="00754BC8" w:rsidRPr="00F41258">
        <w:t>Verbindung</w:t>
      </w:r>
      <w:r w:rsidRPr="00F41258">
        <w:t xml:space="preserve"> von geförderten Heizungsanlagen </w:t>
      </w:r>
      <w:r w:rsidR="00754BC8" w:rsidRPr="00F41258">
        <w:t xml:space="preserve">mit dem Internet </w:t>
      </w:r>
      <w:r w:rsidRPr="00F41258">
        <w:t>herzustellen.</w:t>
      </w:r>
    </w:p>
    <w:p w14:paraId="55B85F99" w14:textId="7FBCD05A" w:rsidR="00E06A1A" w:rsidRPr="00F41258" w:rsidRDefault="00E06A1A" w:rsidP="00E06A1A">
      <w:r w:rsidRPr="00F41258">
        <w:t>Gegenstand der Förderung sind die Errichtung oder Erweiterung von Anlagen zur Wärmeerzeugung, die überwiegend (d. h. mit mehr als 50 % der erzeugten Wärme) mindestens einem der folgenden Zwecke dienen:</w:t>
      </w:r>
    </w:p>
    <w:p w14:paraId="1D384B06" w14:textId="77777777" w:rsidR="00E06A1A" w:rsidRPr="00F41258" w:rsidRDefault="00E06A1A" w:rsidP="009B6F99">
      <w:pPr>
        <w:pStyle w:val="Listenabsatz"/>
        <w:numPr>
          <w:ilvl w:val="0"/>
          <w:numId w:val="26"/>
        </w:numPr>
      </w:pPr>
      <w:r w:rsidRPr="00F41258">
        <w:t>Warmwasserbereitung,</w:t>
      </w:r>
    </w:p>
    <w:p w14:paraId="13A2E1E0" w14:textId="77777777" w:rsidR="00E06A1A" w:rsidRPr="00F41258" w:rsidRDefault="00E06A1A" w:rsidP="009B6F99">
      <w:pPr>
        <w:pStyle w:val="Listenabsatz"/>
        <w:numPr>
          <w:ilvl w:val="0"/>
          <w:numId w:val="26"/>
        </w:numPr>
      </w:pPr>
      <w:r w:rsidRPr="00F41258">
        <w:t>Raumheizung,</w:t>
      </w:r>
    </w:p>
    <w:p w14:paraId="6AC006CB" w14:textId="77777777" w:rsidR="00E06A1A" w:rsidRPr="00F41258" w:rsidRDefault="00E06A1A" w:rsidP="009B6F99">
      <w:pPr>
        <w:pStyle w:val="Listenabsatz"/>
        <w:numPr>
          <w:ilvl w:val="0"/>
          <w:numId w:val="26"/>
        </w:numPr>
      </w:pPr>
      <w:r w:rsidRPr="00F41258">
        <w:t>kombinierte Warmwasserbereitung und Raumheizung,</w:t>
      </w:r>
    </w:p>
    <w:p w14:paraId="63D19154" w14:textId="0992112C" w:rsidR="00E06A1A" w:rsidRPr="00F41258" w:rsidRDefault="00E06A1A" w:rsidP="009B6F99">
      <w:pPr>
        <w:pStyle w:val="Listenabsatz"/>
        <w:numPr>
          <w:ilvl w:val="0"/>
          <w:numId w:val="26"/>
        </w:numPr>
      </w:pPr>
      <w:r w:rsidRPr="00F41258">
        <w:t>solare Kälteerzeugung</w:t>
      </w:r>
    </w:p>
    <w:p w14:paraId="79C13FD2" w14:textId="5BC883C9" w:rsidR="00E06A1A" w:rsidRPr="00F41258" w:rsidRDefault="00E06A1A" w:rsidP="009B6F99">
      <w:pPr>
        <w:pStyle w:val="Listenabsatz"/>
        <w:numPr>
          <w:ilvl w:val="0"/>
          <w:numId w:val="26"/>
        </w:numPr>
      </w:pPr>
      <w:r w:rsidRPr="00F41258">
        <w:t>die Zuführung der Wärme</w:t>
      </w:r>
      <w:r w:rsidR="0029791E" w:rsidRPr="00F41258">
        <w:t xml:space="preserve"> oder solaren Kälte</w:t>
      </w:r>
      <w:r w:rsidRPr="00F41258">
        <w:t xml:space="preserve"> in ein </w:t>
      </w:r>
      <w:r w:rsidRPr="00F41258">
        <w:t>Gebäudenetz</w:t>
      </w:r>
      <w:r w:rsidRPr="00F41258">
        <w:t>.</w:t>
      </w:r>
    </w:p>
    <w:p w14:paraId="5719850A" w14:textId="4AEF96DA" w:rsidR="0082480E" w:rsidRPr="00F41258" w:rsidRDefault="0082480E" w:rsidP="00D07EB6">
      <w:bookmarkStart w:id="202" w:name="_Hlk144108597"/>
      <w:r w:rsidRPr="00F41258">
        <w:t>In Gebieten mit ausgewiesenem Anschluss- und Benutzungszwang für ein Wärmenetz wird ausschließlich der Anschluss an das Netz</w:t>
      </w:r>
      <w:r w:rsidR="00132C02" w:rsidRPr="00F41258">
        <w:t xml:space="preserve"> nach Nummer 3.</w:t>
      </w:r>
      <w:r w:rsidR="00D4601B" w:rsidRPr="00F41258">
        <w:t>9</w:t>
      </w:r>
      <w:r w:rsidR="00132C02" w:rsidRPr="00F41258">
        <w:t xml:space="preserve"> und nicht die Errichtung von Einzelheizungen nach Nummern 3.2 bis 3.</w:t>
      </w:r>
      <w:r w:rsidR="00D4601B" w:rsidRPr="00F41258">
        <w:t>8</w:t>
      </w:r>
      <w:r w:rsidR="00132C02" w:rsidRPr="00F41258">
        <w:t xml:space="preserve"> gefördert.</w:t>
      </w:r>
      <w:r w:rsidR="00BC40BF" w:rsidRPr="00F41258">
        <w:t xml:space="preserve"> </w:t>
      </w:r>
    </w:p>
    <w:bookmarkEnd w:id="202"/>
    <w:p w14:paraId="34DD142E" w14:textId="68B880DF" w:rsidR="00590E4E" w:rsidRPr="00F41258" w:rsidRDefault="00590E4E" w:rsidP="00D07EB6">
      <w:r w:rsidRPr="00F41258">
        <w:t xml:space="preserve">Bei Errichtung </w:t>
      </w:r>
      <w:r w:rsidR="00AF114B" w:rsidRPr="00F41258">
        <w:t>von</w:t>
      </w:r>
      <w:r w:rsidRPr="00F41258">
        <w:t xml:space="preserve"> </w:t>
      </w:r>
      <w:r w:rsidRPr="00F41258">
        <w:t xml:space="preserve">sowie Nachrüstung </w:t>
      </w:r>
      <w:r w:rsidR="00AF114B" w:rsidRPr="00F41258">
        <w:t xml:space="preserve">mit </w:t>
      </w:r>
      <w:r w:rsidR="001270DA" w:rsidRPr="00F41258">
        <w:t xml:space="preserve">Biomasseheizungen, </w:t>
      </w:r>
      <w:r w:rsidR="00D07EB6" w:rsidRPr="00F41258">
        <w:t>Wärmepumpen</w:t>
      </w:r>
      <w:r w:rsidR="001270DA" w:rsidRPr="00F41258">
        <w:t xml:space="preserve">, Brennstoffzellenheizungen, wasserstofffähigen Heizungen, </w:t>
      </w:r>
      <w:r w:rsidR="00AF114B" w:rsidRPr="00F41258">
        <w:t xml:space="preserve">und/oder </w:t>
      </w:r>
      <w:r w:rsidR="001270DA" w:rsidRPr="00F41258">
        <w:t>innovativer Heiztechnik</w:t>
      </w:r>
      <w:r w:rsidR="00D07EB6" w:rsidRPr="00F41258">
        <w:t xml:space="preserve"> zur Raumheizung</w:t>
      </w:r>
      <w:r w:rsidRPr="00F41258">
        <w:t xml:space="preserve"> </w:t>
      </w:r>
      <w:r w:rsidR="00D07EB6" w:rsidRPr="00F41258">
        <w:t>inkl. der</w:t>
      </w:r>
      <w:r w:rsidRPr="00F41258">
        <w:t xml:space="preserve"> Nachrüstung bivalenter Systeme </w:t>
      </w:r>
      <w:r w:rsidR="00323149" w:rsidRPr="00F41258">
        <w:t>müssen</w:t>
      </w:r>
      <w:r w:rsidRPr="00F41258">
        <w:t xml:space="preserve"> </w:t>
      </w:r>
      <w:r w:rsidR="00E538A2" w:rsidRPr="00F41258">
        <w:t xml:space="preserve">die durch </w:t>
      </w:r>
      <w:r w:rsidR="00E538A2" w:rsidRPr="00F41258">
        <w:lastRenderedPageBreak/>
        <w:t xml:space="preserve">die Anlagen </w:t>
      </w:r>
      <w:r w:rsidR="00323149" w:rsidRPr="00F41258">
        <w:t>versorgten Wohneinheiten oder Flächen</w:t>
      </w:r>
      <w:r w:rsidRPr="00F41258">
        <w:t xml:space="preserve"> nach Durchführung der Maßnahme zu mindestens 65 % durch erneuerbare Energien beheizt werden. </w:t>
      </w:r>
    </w:p>
    <w:p w14:paraId="14002680" w14:textId="62E31D76" w:rsidR="00232CB1" w:rsidRPr="00F41258" w:rsidRDefault="009F5E7C" w:rsidP="00583FF0">
      <w:pPr>
        <w:pStyle w:val="berschrift2"/>
      </w:pPr>
      <w:bookmarkStart w:id="203" w:name="_Solarthermische_AnlagenSolarkollekt"/>
      <w:bookmarkStart w:id="204" w:name="_Toc144908066"/>
      <w:bookmarkStart w:id="205" w:name="_Toc112915720"/>
      <w:bookmarkEnd w:id="203"/>
      <w:r w:rsidRPr="00F41258">
        <w:t>Solarthermische Anlage</w:t>
      </w:r>
      <w:r w:rsidR="00545ED1" w:rsidRPr="00F41258">
        <w:t>n</w:t>
      </w:r>
      <w:bookmarkEnd w:id="204"/>
      <w:bookmarkEnd w:id="205"/>
    </w:p>
    <w:p w14:paraId="696A09E2" w14:textId="453459E4" w:rsidR="00E6401B" w:rsidRPr="00F41258" w:rsidRDefault="00C969B2" w:rsidP="00EB6174">
      <w:pPr>
        <w:pStyle w:val="berschrift3"/>
      </w:pPr>
      <w:bookmarkStart w:id="206" w:name="_Toc144908067"/>
      <w:r w:rsidRPr="00F41258">
        <w:t>Anforderungen</w:t>
      </w:r>
      <w:bookmarkEnd w:id="206"/>
    </w:p>
    <w:p w14:paraId="617850EF" w14:textId="362CA2B0" w:rsidR="00232CB1" w:rsidRPr="00F41258" w:rsidRDefault="00232CB1" w:rsidP="00583FF0">
      <w:r w:rsidRPr="00F41258">
        <w:t>Die Anlagen sind so zu realisieren, dass erneuerbare Energien im Gebäude oder in unmittelbarer Nähe zum versorgten Gebäude genutzt werden.</w:t>
      </w:r>
      <w:r w:rsidR="00F64D6A" w:rsidRPr="00F41258">
        <w:t xml:space="preserve"> </w:t>
      </w:r>
    </w:p>
    <w:p w14:paraId="5FC5D410" w14:textId="75808046" w:rsidR="00232CB1" w:rsidRPr="00F41258" w:rsidRDefault="00232CB1" w:rsidP="00583FF0">
      <w:r w:rsidRPr="00F41258">
        <w:t xml:space="preserve">Nicht förderfähig sind </w:t>
      </w:r>
      <w:r w:rsidR="004C0EB1" w:rsidRPr="00F41258">
        <w:t>solarthermische A</w:t>
      </w:r>
      <w:r w:rsidRPr="00F41258">
        <w:t>nlagen</w:t>
      </w:r>
      <w:r w:rsidRPr="00F41258">
        <w:t xml:space="preserve"> mit Kollektoren ohne </w:t>
      </w:r>
      <w:bookmarkStart w:id="207" w:name="_Hlk120536553"/>
      <w:r w:rsidRPr="00F41258">
        <w:t>transparente Abdeckung auf der Frontseite</w:t>
      </w:r>
      <w:bookmarkEnd w:id="207"/>
      <w:r w:rsidRPr="00F41258">
        <w:t xml:space="preserve"> (z. B. Schwimmbadabsorber).</w:t>
      </w:r>
    </w:p>
    <w:p w14:paraId="43655197" w14:textId="77777777" w:rsidR="00232CB1" w:rsidRPr="00F41258" w:rsidRDefault="00232CB1" w:rsidP="00583FF0">
      <w:r w:rsidRPr="00F41258">
        <w:t>Technische Mindestanforderungen</w:t>
      </w:r>
      <w:r w:rsidR="00B32DF3" w:rsidRPr="00F41258">
        <w:t>:</w:t>
      </w:r>
    </w:p>
    <w:p w14:paraId="20F7D74A" w14:textId="6E98E582" w:rsidR="00232CB1" w:rsidRPr="00F41258" w:rsidRDefault="00232CB1" w:rsidP="009B6F99">
      <w:pPr>
        <w:pStyle w:val="Listenabsatz"/>
        <w:numPr>
          <w:ilvl w:val="0"/>
          <w:numId w:val="16"/>
        </w:numPr>
      </w:pPr>
      <w:r w:rsidRPr="00F41258">
        <w:t>Unabhängige Prüfung/Zertifizierung nach Solar-Keymark eines nach ISO 17025 akkreditierten Prüfinstituts</w:t>
      </w:r>
      <w:r w:rsidR="00B32DF3" w:rsidRPr="00F41258">
        <w:t xml:space="preserve"> im Sinne des § 71e GEG;</w:t>
      </w:r>
    </w:p>
    <w:p w14:paraId="257535AC" w14:textId="49E583B3" w:rsidR="00232CB1" w:rsidRPr="00F41258" w:rsidRDefault="00232CB1" w:rsidP="009B6F99">
      <w:pPr>
        <w:pStyle w:val="Listenabsatz"/>
        <w:numPr>
          <w:ilvl w:val="0"/>
          <w:numId w:val="17"/>
        </w:numPr>
      </w:pPr>
      <w:r w:rsidRPr="00F41258">
        <w:t xml:space="preserve">Jährlicher Kollektorertrag </w:t>
      </w:r>
      <w:proofErr w:type="spellStart"/>
      <w:r w:rsidRPr="00F41258">
        <w:t>Q</w:t>
      </w:r>
      <w:r w:rsidRPr="00F41258">
        <w:rPr>
          <w:vertAlign w:val="subscript"/>
        </w:rPr>
        <w:t>kOl</w:t>
      </w:r>
      <w:proofErr w:type="spellEnd"/>
      <w:r w:rsidRPr="00F41258">
        <w:t xml:space="preserve"> für flüssigkeitsdurchströmte Kollektoren von mindestens 525 kWh/m</w:t>
      </w:r>
      <w:r w:rsidRPr="00F41258">
        <w:rPr>
          <w:vertAlign w:val="superscript"/>
        </w:rPr>
        <w:t>2</w:t>
      </w:r>
      <w:r w:rsidR="00AD3D17" w:rsidRPr="00F41258">
        <w:t xml:space="preserve">. </w:t>
      </w:r>
      <w:r w:rsidRPr="00F41258">
        <w:t xml:space="preserve">Der Nachweis von </w:t>
      </w:r>
      <w:proofErr w:type="spellStart"/>
      <w:r w:rsidRPr="00F41258">
        <w:t>Q</w:t>
      </w:r>
      <w:r w:rsidRPr="00F41258">
        <w:rPr>
          <w:vertAlign w:val="subscript"/>
        </w:rPr>
        <w:t>kOl</w:t>
      </w:r>
      <w:proofErr w:type="spellEnd"/>
      <w:r w:rsidRPr="00F41258">
        <w:t xml:space="preserve"> erfolgt auf Basis der Kollektorerträge bei 25 °C und 50 °C am Standort Würzburg und berechnet sich wie folgt:</w:t>
      </w:r>
      <w:r w:rsidR="00AD3D17" w:rsidRPr="00F41258">
        <w:t xml:space="preserve"> </w:t>
      </w:r>
      <w:proofErr w:type="spellStart"/>
      <w:r w:rsidRPr="00F41258">
        <w:t>Q</w:t>
      </w:r>
      <w:r w:rsidRPr="00F41258">
        <w:rPr>
          <w:vertAlign w:val="subscript"/>
        </w:rPr>
        <w:t>kOl</w:t>
      </w:r>
      <w:proofErr w:type="spellEnd"/>
      <w:r w:rsidRPr="00F41258">
        <w:t xml:space="preserve"> = 0,38 (W25/</w:t>
      </w:r>
      <w:proofErr w:type="spellStart"/>
      <w:r w:rsidRPr="00F41258">
        <w:t>A</w:t>
      </w:r>
      <w:r w:rsidRPr="00F41258">
        <w:rPr>
          <w:vertAlign w:val="subscript"/>
        </w:rPr>
        <w:t>ap</w:t>
      </w:r>
      <w:proofErr w:type="spellEnd"/>
      <w:r w:rsidRPr="00F41258">
        <w:t xml:space="preserve"> – </w:t>
      </w:r>
      <w:proofErr w:type="spellStart"/>
      <w:r w:rsidRPr="00F41258">
        <w:t>C</w:t>
      </w:r>
      <w:r w:rsidRPr="00F41258">
        <w:rPr>
          <w:vertAlign w:val="subscript"/>
        </w:rPr>
        <w:t>eff</w:t>
      </w:r>
      <w:proofErr w:type="spellEnd"/>
      <w:r w:rsidRPr="00F41258">
        <w:t>) + 0,71 (W50/</w:t>
      </w:r>
      <w:proofErr w:type="spellStart"/>
      <w:r w:rsidRPr="00F41258">
        <w:t>A</w:t>
      </w:r>
      <w:r w:rsidRPr="00F41258">
        <w:rPr>
          <w:vertAlign w:val="subscript"/>
        </w:rPr>
        <w:t>ap</w:t>
      </w:r>
      <w:proofErr w:type="spellEnd"/>
      <w:r w:rsidRPr="00F41258">
        <w:t xml:space="preserve"> – </w:t>
      </w:r>
      <w:proofErr w:type="spellStart"/>
      <w:r w:rsidRPr="00F41258">
        <w:t>C</w:t>
      </w:r>
      <w:r w:rsidRPr="00F41258">
        <w:rPr>
          <w:vertAlign w:val="subscript"/>
        </w:rPr>
        <w:t>eff</w:t>
      </w:r>
      <w:proofErr w:type="spellEnd"/>
      <w:r w:rsidRPr="00F41258">
        <w:t>).</w:t>
      </w:r>
    </w:p>
    <w:p w14:paraId="3F3F1599" w14:textId="0199D24B" w:rsidR="00232CB1" w:rsidRPr="00F41258" w:rsidRDefault="00232CB1" w:rsidP="00EB6174">
      <w:pPr>
        <w:pStyle w:val="berschrift3"/>
      </w:pPr>
      <w:bookmarkStart w:id="208" w:name="_Toc144908068"/>
      <w:r w:rsidRPr="00F41258">
        <w:t>Qualitätssicherung</w:t>
      </w:r>
      <w:bookmarkEnd w:id="208"/>
    </w:p>
    <w:p w14:paraId="722C52FD" w14:textId="05996BF4" w:rsidR="00232CB1" w:rsidRPr="00F41258" w:rsidRDefault="00232CB1" w:rsidP="00583FF0">
      <w:r w:rsidRPr="00F41258">
        <w:t xml:space="preserve">Abweichend zu der in </w:t>
      </w:r>
      <w:hyperlink w:anchor="_Übergreifende_Technische_Mindestanf" w:history="1">
        <w:r w:rsidR="00F17499" w:rsidRPr="00F41258">
          <w:rPr>
            <w:rStyle w:val="Hyperlink"/>
          </w:rPr>
          <w:t xml:space="preserve">TMA </w:t>
        </w:r>
        <w:r w:rsidRPr="00F41258">
          <w:rPr>
            <w:rStyle w:val="Hyperlink"/>
          </w:rPr>
          <w:t>Nummer 3.1</w:t>
        </w:r>
      </w:hyperlink>
      <w:r w:rsidRPr="00F41258">
        <w:t xml:space="preserve"> genannten messtechnischen Erfassung der Energieverbräuche sowie aller erzeugten Wärmemengen eines regenerativen Wärmerzeugers, gilt für solarthermische Anlagen Folgendes:</w:t>
      </w:r>
    </w:p>
    <w:p w14:paraId="2978ADE5" w14:textId="5DC5F636" w:rsidR="00232CB1" w:rsidRPr="00F41258" w:rsidRDefault="00232CB1" w:rsidP="009B6F99">
      <w:pPr>
        <w:pStyle w:val="Listenabsatz"/>
        <w:numPr>
          <w:ilvl w:val="0"/>
          <w:numId w:val="17"/>
        </w:numPr>
      </w:pPr>
      <w:r w:rsidRPr="00F41258">
        <w:t xml:space="preserve">Förderfähige </w:t>
      </w:r>
      <w:r w:rsidR="00971CA1" w:rsidRPr="00F41258">
        <w:t>solarthermische A</w:t>
      </w:r>
      <w:r w:rsidRPr="00F41258">
        <w:t>nlagen</w:t>
      </w:r>
      <w:r w:rsidRPr="00F41258">
        <w:t xml:space="preserve"> müssen mit einem Funktionskontrollgerät (Solarregelung) ausgestattet sein (Luftkollektoren sind ausgenommen)</w:t>
      </w:r>
    </w:p>
    <w:p w14:paraId="15B3F8F2" w14:textId="60EF18A1" w:rsidR="00232CB1" w:rsidRPr="00F41258" w:rsidRDefault="00232CB1" w:rsidP="009B6F99">
      <w:pPr>
        <w:pStyle w:val="Listenabsatz"/>
        <w:numPr>
          <w:ilvl w:val="0"/>
          <w:numId w:val="17"/>
        </w:numPr>
      </w:pPr>
      <w:r w:rsidRPr="00F41258">
        <w:t>Bei Vakuumröhren- und Vakuumflachkollektoren ab 20 m</w:t>
      </w:r>
      <w:r w:rsidRPr="00F41258">
        <w:rPr>
          <w:vertAlign w:val="superscript"/>
        </w:rPr>
        <w:t>2</w:t>
      </w:r>
      <w:r w:rsidRPr="00F41258">
        <w:t xml:space="preserve"> oder Flachkollektoren ab 30 m</w:t>
      </w:r>
      <w:r w:rsidRPr="00F41258">
        <w:rPr>
          <w:vertAlign w:val="superscript"/>
        </w:rPr>
        <w:t>2</w:t>
      </w:r>
      <w:r w:rsidRPr="00F41258">
        <w:t xml:space="preserve"> ist die Erfassung der solaren Erträge im Kollektorkreislauf erforderlich</w:t>
      </w:r>
    </w:p>
    <w:p w14:paraId="5296C443" w14:textId="77777777" w:rsidR="00F17499" w:rsidRPr="00F41258" w:rsidRDefault="00232CB1" w:rsidP="009B6F99">
      <w:pPr>
        <w:pStyle w:val="Listenabsatz"/>
        <w:numPr>
          <w:ilvl w:val="0"/>
          <w:numId w:val="17"/>
        </w:numPr>
      </w:pPr>
      <w:r w:rsidRPr="00F41258">
        <w:t xml:space="preserve">z. B. mit einem Wärmemengenzähler oder einer Solarregelung mit entsprechender Option </w:t>
      </w:r>
    </w:p>
    <w:p w14:paraId="34620BB8" w14:textId="14AC9E4C" w:rsidR="00232CB1" w:rsidRPr="00F41258" w:rsidRDefault="00232CB1" w:rsidP="00EB6174">
      <w:pPr>
        <w:pStyle w:val="berschrift3"/>
      </w:pPr>
      <w:bookmarkStart w:id="209" w:name="_Toc144908069"/>
      <w:r w:rsidRPr="00F41258">
        <w:t>Nachweise</w:t>
      </w:r>
      <w:bookmarkEnd w:id="209"/>
    </w:p>
    <w:p w14:paraId="30686757" w14:textId="1108C4D3" w:rsidR="00232CB1" w:rsidRPr="00F41258" w:rsidRDefault="00232CB1" w:rsidP="009B6F99">
      <w:pPr>
        <w:pStyle w:val="Listenabsatz"/>
        <w:numPr>
          <w:ilvl w:val="0"/>
          <w:numId w:val="17"/>
        </w:numPr>
      </w:pPr>
      <w:r w:rsidRPr="00F41258">
        <w:t xml:space="preserve">Bestätigung eines Fachunternehmens über die Durchführung des hydraulischen Abgleichs unter Verwendung des Bestätigungsformulars für Einzelmaßnahmen </w:t>
      </w:r>
      <w:r w:rsidR="00DB3CF2" w:rsidRPr="00F41258">
        <w:t>der „</w:t>
      </w:r>
      <w:proofErr w:type="spellStart"/>
      <w:r w:rsidR="00DB3CF2" w:rsidRPr="00F41258">
        <w:t>VdZ</w:t>
      </w:r>
      <w:proofErr w:type="spellEnd"/>
      <w:r w:rsidR="00DB3CF2" w:rsidRPr="00F41258">
        <w:t xml:space="preserve"> − Wirtschaftsvereinigung Gebäude und Energie e.V.“ (www.vdzev.de/broschueren/formulare-hydraulischer-abgleich).</w:t>
      </w:r>
      <w:r w:rsidRPr="00F41258">
        <w:t xml:space="preserve"> </w:t>
      </w:r>
    </w:p>
    <w:p w14:paraId="305131C0" w14:textId="550E2B5E" w:rsidR="00232CB1" w:rsidRPr="00F41258" w:rsidRDefault="00232CB1" w:rsidP="009B6F99">
      <w:pPr>
        <w:pStyle w:val="Listenabsatz"/>
        <w:numPr>
          <w:ilvl w:val="0"/>
          <w:numId w:val="17"/>
        </w:numPr>
      </w:pPr>
      <w:r w:rsidRPr="00F41258">
        <w:t>Fachunternehmererklärung.</w:t>
      </w:r>
    </w:p>
    <w:p w14:paraId="35EE4E9E" w14:textId="16BDD597" w:rsidR="00232CB1" w:rsidRPr="00F41258" w:rsidRDefault="00232CB1" w:rsidP="009B6F99">
      <w:pPr>
        <w:pStyle w:val="Listenabsatz"/>
        <w:numPr>
          <w:ilvl w:val="0"/>
          <w:numId w:val="17"/>
        </w:numPr>
      </w:pPr>
      <w:r w:rsidRPr="00F41258">
        <w:t>Vorhabenbezogene Rechnungen und Nachweise über die geleisteten Zahlungen, Aufstellung der förderfähigen Investitionsmaßnahmen und -kosten.</w:t>
      </w:r>
    </w:p>
    <w:p w14:paraId="124AE243" w14:textId="18738A2D" w:rsidR="00232CB1" w:rsidRPr="00F41258" w:rsidRDefault="00232CB1" w:rsidP="009B6F99">
      <w:pPr>
        <w:pStyle w:val="Listenabsatz"/>
        <w:numPr>
          <w:ilvl w:val="0"/>
          <w:numId w:val="17"/>
        </w:numPr>
      </w:pPr>
      <w:r w:rsidRPr="00F41258">
        <w:t>Solar-Keymark-Zertifikat und der zugrundeliegende Prüfbericht nach EN 12975-1 oder EN ISO 9806.</w:t>
      </w:r>
    </w:p>
    <w:p w14:paraId="5DD6D62A" w14:textId="0E836E54" w:rsidR="00232CB1" w:rsidRPr="00F41258" w:rsidRDefault="00232CB1" w:rsidP="009B6F99">
      <w:pPr>
        <w:pStyle w:val="Listenabsatz"/>
        <w:numPr>
          <w:ilvl w:val="0"/>
          <w:numId w:val="18"/>
        </w:numPr>
      </w:pPr>
      <w:r w:rsidRPr="00F41258">
        <w:t xml:space="preserve">Hinweis: Bei </w:t>
      </w:r>
      <w:r w:rsidR="00971CA1" w:rsidRPr="00F41258">
        <w:t>solarthermischen Anlagen</w:t>
      </w:r>
      <w:r w:rsidRPr="00F41258">
        <w:t xml:space="preserve"> mit gültigem Solar-Keymark-Zertifikat, die bereits beim BAFA als förderfähig gelistet sind, wurde dieser Nachweis bereits erbracht.</w:t>
      </w:r>
    </w:p>
    <w:p w14:paraId="15E30172" w14:textId="28D99962" w:rsidR="00232CB1" w:rsidRPr="00F41258" w:rsidRDefault="00232CB1" w:rsidP="009B6F99">
      <w:pPr>
        <w:pStyle w:val="Listenabsatz"/>
        <w:numPr>
          <w:ilvl w:val="0"/>
          <w:numId w:val="18"/>
        </w:numPr>
      </w:pPr>
      <w:r w:rsidRPr="00F41258">
        <w:t>Herstellernachweise zu den produktspezifischen Kenndaten und Geräteeigenschaften.</w:t>
      </w:r>
    </w:p>
    <w:p w14:paraId="40BB3361" w14:textId="632C57E4" w:rsidR="00232CB1" w:rsidRPr="00F41258" w:rsidRDefault="008E63B9" w:rsidP="009B6F99">
      <w:pPr>
        <w:pStyle w:val="Listenabsatz"/>
        <w:numPr>
          <w:ilvl w:val="0"/>
          <w:numId w:val="18"/>
        </w:numPr>
      </w:pPr>
      <w:r w:rsidRPr="00F41258">
        <w:lastRenderedPageBreak/>
        <w:t>D</w:t>
      </w:r>
      <w:r w:rsidR="00F011C9" w:rsidRPr="00F41258">
        <w:t xml:space="preserve">ie </w:t>
      </w:r>
      <w:r w:rsidR="00232CB1" w:rsidRPr="00F41258">
        <w:t>förderfähige</w:t>
      </w:r>
      <w:r w:rsidR="00F011C9" w:rsidRPr="00F41258">
        <w:t>n</w:t>
      </w:r>
      <w:r w:rsidR="00232CB1" w:rsidRPr="00F41258">
        <w:t xml:space="preserve"> </w:t>
      </w:r>
      <w:r w:rsidR="00971CA1" w:rsidRPr="00F41258">
        <w:t>solarthermische</w:t>
      </w:r>
      <w:r w:rsidR="00F011C9" w:rsidRPr="00F41258">
        <w:t>n</w:t>
      </w:r>
      <w:r w:rsidR="00971CA1" w:rsidRPr="00F41258">
        <w:t xml:space="preserve"> A</w:t>
      </w:r>
      <w:r w:rsidR="00232CB1" w:rsidRPr="00F41258">
        <w:t>nlagen</w:t>
      </w:r>
      <w:r w:rsidR="00232CB1" w:rsidRPr="00F41258">
        <w:t xml:space="preserve"> sind in einer Anlagenliste aufgeführt, die vom BAFA fortlaufend aktualisiert wird (</w:t>
      </w:r>
      <w:hyperlink r:id="rId22" w:tooltip="http://www.BAFA.de" w:history="1">
        <w:r w:rsidR="00232CB1" w:rsidRPr="00F41258">
          <w:rPr>
            <w:u w:val="single"/>
          </w:rPr>
          <w:t>www.BAFA.de</w:t>
        </w:r>
      </w:hyperlink>
      <w:r w:rsidR="00232CB1" w:rsidRPr="00F41258">
        <w:t>).</w:t>
      </w:r>
    </w:p>
    <w:p w14:paraId="68AED638" w14:textId="1E0CFCF5" w:rsidR="00232CB1" w:rsidRPr="00F41258" w:rsidRDefault="00232CB1" w:rsidP="00583FF0">
      <w:pPr>
        <w:pStyle w:val="berschrift2"/>
      </w:pPr>
      <w:bookmarkStart w:id="210" w:name="_Biomasseheizungen"/>
      <w:bookmarkStart w:id="211" w:name="_Toc112915721"/>
      <w:bookmarkStart w:id="212" w:name="_Toc144908070"/>
      <w:bookmarkEnd w:id="210"/>
      <w:r w:rsidRPr="00F41258">
        <w:t>Biomasseheizungen</w:t>
      </w:r>
      <w:bookmarkEnd w:id="211"/>
      <w:bookmarkEnd w:id="212"/>
    </w:p>
    <w:p w14:paraId="76EE1776" w14:textId="270D8D23" w:rsidR="00232CB1" w:rsidRPr="00F41258" w:rsidRDefault="00232CB1" w:rsidP="00F0420B">
      <w:pPr>
        <w:rPr>
          <w:spacing w:val="-5"/>
        </w:rPr>
      </w:pPr>
      <w:bookmarkStart w:id="213" w:name="_Hlk120033595"/>
      <w:r w:rsidRPr="00F41258">
        <w:t>Gefördert wird die Installation von Anlagen zur Verbrennung von fester Biomasse gemäß § 3 Absatz 1 Nummer 4, 5, 5a, 8 oder Nummer 13 der Verordnung über kleine und mittlere Feuerungsanlagen (1. BImSchV).</w:t>
      </w:r>
      <w:r w:rsidR="00A620E3" w:rsidRPr="00F41258">
        <w:t xml:space="preserve"> Nur in </w:t>
      </w:r>
      <w:proofErr w:type="spellStart"/>
      <w:r w:rsidR="00A176CE" w:rsidRPr="00F41258">
        <w:t>holzbe</w:t>
      </w:r>
      <w:proofErr w:type="spellEnd"/>
      <w:r w:rsidR="00A176CE" w:rsidRPr="00F41258">
        <w:t xml:space="preserve">- und verarbeitenden </w:t>
      </w:r>
      <w:r w:rsidR="00A620E3" w:rsidRPr="00F41258">
        <w:t>Betrieben ist zusätzlich die Verbrennung von fester Biomasse gemäß § 3 Absatz 1 Nummer 6 und Nummer 7 der 1. BImSchV möglich. Hierbei sind die Anforderungen an die Ableitbedingungen nach § 19 Absatz 1 der 1. BImSchV zu erfüllen, auch wenn es sich um den Austausch einer Bestandsanlage handelt.</w:t>
      </w:r>
      <w:r w:rsidRPr="00F41258">
        <w:t xml:space="preserve"> </w:t>
      </w:r>
      <w:bookmarkEnd w:id="213"/>
      <w:r w:rsidRPr="00F41258">
        <w:t>Förderfähig sind</w:t>
      </w:r>
      <w:r w:rsidR="00261961" w:rsidRPr="00F41258">
        <w:t xml:space="preserve"> folgende</w:t>
      </w:r>
      <w:r w:rsidRPr="00F41258">
        <w:t xml:space="preserve"> Anlagen</w:t>
      </w:r>
      <w:r w:rsidRPr="00F41258">
        <w:rPr>
          <w:spacing w:val="-5"/>
        </w:rPr>
        <w:t>:</w:t>
      </w:r>
    </w:p>
    <w:p w14:paraId="2706FB03" w14:textId="4DEC506E" w:rsidR="00232CB1" w:rsidRPr="00F41258" w:rsidRDefault="00232CB1" w:rsidP="009B6F99">
      <w:pPr>
        <w:pStyle w:val="berschrift4"/>
        <w:numPr>
          <w:ilvl w:val="0"/>
          <w:numId w:val="48"/>
        </w:numPr>
        <w:rPr>
          <w:b w:val="0"/>
        </w:rPr>
      </w:pPr>
      <w:r w:rsidRPr="00F41258">
        <w:rPr>
          <w:b w:val="0"/>
        </w:rPr>
        <w:t>Kessel zur Verbrennung von Biomassepellets und -hackgut, die</w:t>
      </w:r>
    </w:p>
    <w:p w14:paraId="51D8605B" w14:textId="2D825E4D" w:rsidR="00232CB1" w:rsidRPr="00F41258" w:rsidRDefault="00232CB1" w:rsidP="009B6F99">
      <w:pPr>
        <w:pStyle w:val="Listenabsatz"/>
        <w:numPr>
          <w:ilvl w:val="0"/>
          <w:numId w:val="18"/>
        </w:numPr>
      </w:pPr>
      <w:r w:rsidRPr="00F41258">
        <w:t>automatisch beschickt sind,</w:t>
      </w:r>
    </w:p>
    <w:p w14:paraId="74F55AB9" w14:textId="51CBB0AA" w:rsidR="00232CB1" w:rsidRPr="00F41258" w:rsidRDefault="00232CB1" w:rsidP="009B6F99">
      <w:pPr>
        <w:pStyle w:val="Listenabsatz"/>
        <w:numPr>
          <w:ilvl w:val="0"/>
          <w:numId w:val="18"/>
        </w:numPr>
      </w:pPr>
      <w:r w:rsidRPr="00F41258">
        <w:t>über Leistungs- u. Feuerungsregelung sowie automatische Zündung verfügen,</w:t>
      </w:r>
    </w:p>
    <w:p w14:paraId="03A658FB" w14:textId="1524506F" w:rsidR="00232CB1" w:rsidRPr="00F41258" w:rsidRDefault="00232CB1" w:rsidP="009B6F99">
      <w:pPr>
        <w:pStyle w:val="Listenabsatz"/>
        <w:numPr>
          <w:ilvl w:val="0"/>
          <w:numId w:val="18"/>
        </w:numPr>
      </w:pPr>
      <w:r w:rsidRPr="00F41258">
        <w:t>durch ein gemäß ISO 17025 akkreditiertes Prüfinstitut nach EN 303-5 geprüft sind, und</w:t>
      </w:r>
    </w:p>
    <w:p w14:paraId="1FB04CB5" w14:textId="0138BCF2" w:rsidR="00232CB1" w:rsidRPr="00F41258" w:rsidRDefault="00232CB1" w:rsidP="009B6F99">
      <w:pPr>
        <w:pStyle w:val="Listenabsatz"/>
        <w:numPr>
          <w:ilvl w:val="0"/>
          <w:numId w:val="18"/>
        </w:numPr>
      </w:pPr>
      <w:r w:rsidRPr="00F41258">
        <w:t>ein Pufferspeicher-Volumen von mindestens 30 Liter je kW Nennwärmeleistung einbinden;</w:t>
      </w:r>
    </w:p>
    <w:p w14:paraId="497B8615" w14:textId="7DD66832" w:rsidR="00232CB1" w:rsidRPr="00F41258" w:rsidRDefault="00232CB1" w:rsidP="00EB6174">
      <w:pPr>
        <w:pStyle w:val="berschrift4"/>
        <w:rPr>
          <w:b w:val="0"/>
        </w:rPr>
      </w:pPr>
      <w:r w:rsidRPr="00F41258">
        <w:rPr>
          <w:b w:val="0"/>
        </w:rPr>
        <w:t>Pelletöfen mit Wassertasche, die</w:t>
      </w:r>
    </w:p>
    <w:p w14:paraId="22D3B4AA" w14:textId="09D162D8" w:rsidR="00232CB1" w:rsidRPr="00F41258" w:rsidRDefault="00232CB1" w:rsidP="009B6F99">
      <w:pPr>
        <w:pStyle w:val="Listenabsatz"/>
        <w:numPr>
          <w:ilvl w:val="0"/>
          <w:numId w:val="18"/>
        </w:numPr>
      </w:pPr>
      <w:r w:rsidRPr="00F41258">
        <w:t>automatisch beschickt sind,</w:t>
      </w:r>
    </w:p>
    <w:p w14:paraId="2EC699DA" w14:textId="1BBCE271" w:rsidR="00232CB1" w:rsidRPr="00F41258" w:rsidRDefault="00232CB1" w:rsidP="009B6F99">
      <w:pPr>
        <w:pStyle w:val="Listenabsatz"/>
        <w:numPr>
          <w:ilvl w:val="0"/>
          <w:numId w:val="18"/>
        </w:numPr>
      </w:pPr>
      <w:r w:rsidRPr="00F41258">
        <w:t>über Leistungs- und Feuerungsregelung sowie automatische Zündung verfügen und</w:t>
      </w:r>
    </w:p>
    <w:p w14:paraId="66DAE825" w14:textId="77777777" w:rsidR="00A02780" w:rsidRPr="00F41258" w:rsidRDefault="00232CB1" w:rsidP="009B6F99">
      <w:pPr>
        <w:pStyle w:val="Listenabsatz"/>
        <w:numPr>
          <w:ilvl w:val="0"/>
          <w:numId w:val="18"/>
        </w:numPr>
      </w:pPr>
      <w:r w:rsidRPr="00F41258">
        <w:t>durch ein gemäß ISO 17025 akkreditiertes Prüfinstitut nach EN 14785 geprüft sind</w:t>
      </w:r>
      <w:r w:rsidR="00A02780" w:rsidRPr="00F41258">
        <w:t xml:space="preserve"> und </w:t>
      </w:r>
    </w:p>
    <w:p w14:paraId="14090D99" w14:textId="1C46E564" w:rsidR="00232CB1" w:rsidRPr="00F41258" w:rsidRDefault="00A02780" w:rsidP="009B6F99">
      <w:pPr>
        <w:pStyle w:val="Listenabsatz"/>
        <w:numPr>
          <w:ilvl w:val="0"/>
          <w:numId w:val="18"/>
        </w:numPr>
      </w:pPr>
      <w:r w:rsidRPr="00F41258">
        <w:t>ein Pufferspeicher-Volumen von mindestens 30 Liter je kW Nennwärmeleistung einbinden</w:t>
      </w:r>
      <w:r w:rsidR="00232CB1" w:rsidRPr="00F41258">
        <w:t>;</w:t>
      </w:r>
    </w:p>
    <w:p w14:paraId="3A5B7269" w14:textId="386C26D6" w:rsidR="00232CB1" w:rsidRPr="00F41258" w:rsidRDefault="00232CB1" w:rsidP="00EB6174">
      <w:pPr>
        <w:pStyle w:val="berschrift4"/>
        <w:rPr>
          <w:b w:val="0"/>
        </w:rPr>
      </w:pPr>
      <w:r w:rsidRPr="00F41258">
        <w:rPr>
          <w:b w:val="0"/>
        </w:rPr>
        <w:t>besonders emissionsarme Scheitholzvergaserkessel, die</w:t>
      </w:r>
    </w:p>
    <w:p w14:paraId="6140F917" w14:textId="2781CD3A" w:rsidR="00232CB1" w:rsidRPr="00F41258" w:rsidRDefault="00232CB1" w:rsidP="009B6F99">
      <w:pPr>
        <w:pStyle w:val="Listenabsatz"/>
        <w:numPr>
          <w:ilvl w:val="0"/>
          <w:numId w:val="18"/>
        </w:numPr>
      </w:pPr>
      <w:r w:rsidRPr="00F41258">
        <w:t>über Leistungs- und Feuerungsregelung (mit Temperaturfühler hinter der Verbrennungskammer und/oder Lambdasonde zur Messung des O</w:t>
      </w:r>
      <w:r w:rsidRPr="00F41258">
        <w:rPr>
          <w:vertAlign w:val="subscript"/>
        </w:rPr>
        <w:t>2</w:t>
      </w:r>
      <w:r w:rsidRPr="00F41258">
        <w:t>-Gehalts im Abgasrohr oder gleichwertigen Sensoren) verfügen,</w:t>
      </w:r>
    </w:p>
    <w:p w14:paraId="14A0C41F" w14:textId="568C65FC" w:rsidR="00232CB1" w:rsidRPr="00F41258" w:rsidRDefault="00232CB1" w:rsidP="009B6F99">
      <w:pPr>
        <w:pStyle w:val="Listenabsatz"/>
        <w:numPr>
          <w:ilvl w:val="0"/>
          <w:numId w:val="18"/>
        </w:numPr>
      </w:pPr>
      <w:r w:rsidRPr="00F41258">
        <w:t>ein Pufferspeicher-Volumen von mindestens 55 Liter je kW Nennwärmeleistung einbinden, und – durch ein gemäß ISO 17025 akkreditiertes Prüfinstitut nach EN 303-5 geprüft sind;</w:t>
      </w:r>
    </w:p>
    <w:p w14:paraId="769087CA" w14:textId="2151BD34" w:rsidR="00232CB1" w:rsidRPr="00F41258" w:rsidRDefault="00232CB1" w:rsidP="00EB6174">
      <w:pPr>
        <w:pStyle w:val="berschrift4"/>
        <w:rPr>
          <w:b w:val="0"/>
        </w:rPr>
      </w:pPr>
      <w:r w:rsidRPr="00F41258">
        <w:rPr>
          <w:b w:val="0"/>
        </w:rPr>
        <w:t>Kombinationskessel zur Verbrennung von Biomassepellets bzw. -hackgut und Scheitholz, die – automatisch beschickt sind,</w:t>
      </w:r>
    </w:p>
    <w:p w14:paraId="21B648DF" w14:textId="63E485B7" w:rsidR="00232CB1" w:rsidRPr="00F41258" w:rsidRDefault="00232CB1" w:rsidP="009B6F99">
      <w:pPr>
        <w:pStyle w:val="Listenabsatz"/>
        <w:numPr>
          <w:ilvl w:val="0"/>
          <w:numId w:val="18"/>
        </w:numPr>
      </w:pPr>
      <w:r w:rsidRPr="00F41258">
        <w:t>über Leistungs- u. Feuerungsregelung sowie automatische Zündung für den automatisch beschickten Anlagenteil verfügen und</w:t>
      </w:r>
    </w:p>
    <w:p w14:paraId="6916497B" w14:textId="46EA8383" w:rsidR="00232CB1" w:rsidRPr="00F41258" w:rsidRDefault="00232CB1" w:rsidP="009B6F99">
      <w:pPr>
        <w:pStyle w:val="Listenabsatz"/>
        <w:numPr>
          <w:ilvl w:val="0"/>
          <w:numId w:val="18"/>
        </w:numPr>
      </w:pPr>
      <w:r w:rsidRPr="00F41258">
        <w:t>über Leistungs- und Feuerungsregelung (mit Temperaturfühler hinter der Verbrennungskammer und/oder Lambdasonde zur Messung des O</w:t>
      </w:r>
      <w:r w:rsidRPr="00F41258">
        <w:rPr>
          <w:vertAlign w:val="subscript"/>
        </w:rPr>
        <w:t>2</w:t>
      </w:r>
      <w:r w:rsidRPr="00F41258">
        <w:t>-Gehalts im Abgasrohr oder gleichwertigen Sensoren) verfügen, und</w:t>
      </w:r>
    </w:p>
    <w:p w14:paraId="170DF5E9" w14:textId="31761310" w:rsidR="00232CB1" w:rsidRPr="00F41258" w:rsidRDefault="00232CB1" w:rsidP="009B6F99">
      <w:pPr>
        <w:pStyle w:val="Listenabsatz"/>
        <w:numPr>
          <w:ilvl w:val="0"/>
          <w:numId w:val="18"/>
        </w:numPr>
      </w:pPr>
      <w:r w:rsidRPr="00F41258">
        <w:t>ein Pufferspeicher-Volumen von mindestens 55 Liter je kW Nennwärmeleistung einbinden,</w:t>
      </w:r>
    </w:p>
    <w:p w14:paraId="0D9FB9A6" w14:textId="77777777" w:rsidR="00232CB1" w:rsidRPr="00F41258" w:rsidRDefault="00232CB1" w:rsidP="00583FF0">
      <w:r w:rsidRPr="00F41258">
        <w:t>wenn die nachfolgend genannten technischen Vorgaben erfüllt werden.</w:t>
      </w:r>
    </w:p>
    <w:p w14:paraId="43A1CC27" w14:textId="35C57ED3" w:rsidR="00232CB1" w:rsidRPr="00F41258" w:rsidRDefault="00232CB1" w:rsidP="00EB6174">
      <w:pPr>
        <w:pStyle w:val="berschrift3"/>
      </w:pPr>
      <w:bookmarkStart w:id="214" w:name="_Toc144908071"/>
      <w:bookmarkStart w:id="215" w:name="_Hlk120033539"/>
      <w:r w:rsidRPr="00F41258">
        <w:lastRenderedPageBreak/>
        <w:t>Nicht gefördert werden:</w:t>
      </w:r>
      <w:bookmarkEnd w:id="214"/>
    </w:p>
    <w:bookmarkEnd w:id="215"/>
    <w:p w14:paraId="3121CC82" w14:textId="666F6E7A" w:rsidR="00232CB1" w:rsidRPr="00F41258" w:rsidRDefault="00232CB1" w:rsidP="009B6F99">
      <w:pPr>
        <w:pStyle w:val="Listenabsatz"/>
        <w:numPr>
          <w:ilvl w:val="0"/>
          <w:numId w:val="18"/>
        </w:numPr>
      </w:pPr>
      <w:r w:rsidRPr="00F41258">
        <w:t>luftgeführte Pelletöfen,</w:t>
      </w:r>
    </w:p>
    <w:p w14:paraId="78AF76FB" w14:textId="34006E08" w:rsidR="00232CB1" w:rsidRPr="00F41258" w:rsidRDefault="00232CB1" w:rsidP="009B6F99">
      <w:pPr>
        <w:pStyle w:val="Listenabsatz"/>
        <w:numPr>
          <w:ilvl w:val="0"/>
          <w:numId w:val="18"/>
        </w:numPr>
      </w:pPr>
      <w:r w:rsidRPr="00F41258">
        <w:t>handbeschickte Einzelöfen,</w:t>
      </w:r>
    </w:p>
    <w:p w14:paraId="7E7480A1" w14:textId="0432ED94" w:rsidR="00232CB1" w:rsidRPr="00F41258" w:rsidRDefault="00232CB1" w:rsidP="009B6F99">
      <w:pPr>
        <w:pStyle w:val="Listenabsatz"/>
        <w:numPr>
          <w:ilvl w:val="0"/>
          <w:numId w:val="18"/>
        </w:numPr>
      </w:pPr>
      <w:bookmarkStart w:id="216" w:name="_Hlk120033522"/>
      <w:r w:rsidRPr="00F41258">
        <w:t>Anlagen, die überwiegend der Verfeuerung von Abfallstoffen aus der gewerblichen Be- und Verarbeitung von Holz dienen, außer es handelt sich um Altholz der Kategorie A1 (naturbelassenes oder lediglich mechanisch bearbeitetes Altholz)</w:t>
      </w:r>
      <w:r w:rsidR="00230D26" w:rsidRPr="00F41258">
        <w:t xml:space="preserve"> oder, ausschließlich bei der Verbrennung in </w:t>
      </w:r>
      <w:proofErr w:type="spellStart"/>
      <w:r w:rsidR="00545D37" w:rsidRPr="00F41258">
        <w:t>holzbe</w:t>
      </w:r>
      <w:proofErr w:type="spellEnd"/>
      <w:r w:rsidR="00545D37" w:rsidRPr="00F41258">
        <w:t xml:space="preserve">- und verarbeitenden </w:t>
      </w:r>
      <w:r w:rsidR="00230D26" w:rsidRPr="00F41258">
        <w:t>Betrieben, um Altholz der Kategorie A2 (verleimtes, gestrichenes, beschichtetes, lackiertes oder anderweitig behandeltes Altholz ohne halogenorganische Verbindungen und ohne Holzschutzmittel)</w:t>
      </w:r>
      <w:r w:rsidRPr="00F41258">
        <w:t>,</w:t>
      </w:r>
    </w:p>
    <w:bookmarkEnd w:id="216"/>
    <w:p w14:paraId="56778DA8" w14:textId="24C2FA01" w:rsidR="00232CB1" w:rsidRPr="00F41258" w:rsidRDefault="00232CB1" w:rsidP="009B6F99">
      <w:pPr>
        <w:pStyle w:val="Listenabsatz"/>
        <w:numPr>
          <w:ilvl w:val="0"/>
          <w:numId w:val="18"/>
        </w:numPr>
      </w:pPr>
      <w:r w:rsidRPr="00F41258">
        <w:t>Biomasseanlagen, die unter Naturzugbedingungen betrieben werden,</w:t>
      </w:r>
    </w:p>
    <w:p w14:paraId="438258E5" w14:textId="0754A270" w:rsidR="00232CB1" w:rsidRPr="00F41258" w:rsidRDefault="00232CB1" w:rsidP="009B6F99">
      <w:pPr>
        <w:pStyle w:val="Listenabsatz"/>
        <w:numPr>
          <w:ilvl w:val="0"/>
          <w:numId w:val="18"/>
        </w:numPr>
      </w:pPr>
      <w:r w:rsidRPr="00F41258">
        <w:t>Anlagen zum Einsatz von Biomasse, für die die Verordnung über die Verbrennung und die Mitverbrennung von Abfällen (17. BImSchV) in der jeweils gültigen Fassung zur Anwendung kommt,</w:t>
      </w:r>
    </w:p>
    <w:p w14:paraId="62577496" w14:textId="0B8751F8" w:rsidR="00216FB2" w:rsidRPr="00F41258" w:rsidRDefault="00232CB1" w:rsidP="009B6F99">
      <w:pPr>
        <w:pStyle w:val="Listenabsatz"/>
        <w:numPr>
          <w:ilvl w:val="0"/>
          <w:numId w:val="18"/>
        </w:numPr>
      </w:pPr>
      <w:r w:rsidRPr="00F41258">
        <w:t xml:space="preserve">Anlagen zur Beseitigung bestimmter Abfälle, die einer Behandlung vor einer Ablagerung zugeführt werden. </w:t>
      </w:r>
    </w:p>
    <w:p w14:paraId="7A99347C" w14:textId="780B6C14" w:rsidR="00232CB1" w:rsidRPr="00F41258" w:rsidRDefault="00232CB1" w:rsidP="00EB6174">
      <w:pPr>
        <w:pStyle w:val="berschrift3"/>
      </w:pPr>
      <w:bookmarkStart w:id="217" w:name="_Energieeffizienz"/>
      <w:bookmarkStart w:id="218" w:name="_Toc144908072"/>
      <w:bookmarkEnd w:id="217"/>
      <w:r w:rsidRPr="00F41258">
        <w:t>Energieeffizienz</w:t>
      </w:r>
      <w:bookmarkEnd w:id="218"/>
    </w:p>
    <w:p w14:paraId="627F7D72" w14:textId="0FA5D1DA" w:rsidR="00232CB1" w:rsidRPr="00F41258" w:rsidRDefault="00232CB1" w:rsidP="00583FF0">
      <w:r w:rsidRPr="00F41258">
        <w:t xml:space="preserve">Der „jahreszeitbedingte Raumheizungsnutzungsgrad“ </w:t>
      </w:r>
      <w:proofErr w:type="spellStart"/>
      <w:r w:rsidRPr="00F41258">
        <w:t>ƞ</w:t>
      </w:r>
      <w:r w:rsidRPr="00F41258">
        <w:rPr>
          <w:vertAlign w:val="subscript"/>
        </w:rPr>
        <w:t>s</w:t>
      </w:r>
      <w:proofErr w:type="spellEnd"/>
      <w:r w:rsidRPr="00F41258">
        <w:t xml:space="preserve"> (= ETAs) gemäß Öko-Design-Richtlinie förderfähiger Biomasseanlagen muss bei durchschnittlichen Klimaverhältnissen mindestens </w:t>
      </w:r>
      <w:r w:rsidR="00B224D2" w:rsidRPr="00F41258">
        <w:t xml:space="preserve">81 </w:t>
      </w:r>
      <w:r w:rsidRPr="00F41258">
        <w:t xml:space="preserve">% erreichen. </w:t>
      </w:r>
    </w:p>
    <w:p w14:paraId="3AEC6270" w14:textId="76601DD9" w:rsidR="00D14228" w:rsidRPr="00F41258" w:rsidRDefault="00AB0E1F" w:rsidP="00AB0E1F">
      <w:bookmarkStart w:id="219" w:name="_Hlk116919483"/>
      <w:r w:rsidRPr="00F41258">
        <w:t>Biomasseheizungen</w:t>
      </w:r>
      <w:r w:rsidR="00D14228" w:rsidRPr="00F41258">
        <w:t xml:space="preserve"> </w:t>
      </w:r>
      <w:r w:rsidR="003E7079" w:rsidRPr="00F41258">
        <w:t>müssen</w:t>
      </w:r>
      <w:r w:rsidR="00D14228" w:rsidRPr="00F41258">
        <w:t xml:space="preserve"> mit einer solarthermischen</w:t>
      </w:r>
      <w:r w:rsidR="00DF33F4" w:rsidRPr="00F41258">
        <w:t xml:space="preserve"> Anlage</w:t>
      </w:r>
      <w:r w:rsidR="006D5765" w:rsidRPr="00F41258">
        <w:t>,</w:t>
      </w:r>
      <w:r w:rsidR="0043207D" w:rsidRPr="00F41258">
        <w:t xml:space="preserve"> einer Anlage zur Erzeugung von Strom aus solarer Strahlungsenergie zur elektrischen Warmwasserbereitung</w:t>
      </w:r>
      <w:r w:rsidR="006E2B4E" w:rsidRPr="00F41258">
        <w:t xml:space="preserve"> oder Wärmepumpe</w:t>
      </w:r>
      <w:r w:rsidRPr="00F41258">
        <w:t xml:space="preserve"> zur Warmwasserbereitung und/oder Raumheizungsunterstützung</w:t>
      </w:r>
      <w:r w:rsidR="00DF33F4" w:rsidRPr="00F41258">
        <w:t xml:space="preserve"> </w:t>
      </w:r>
      <w:r w:rsidR="003E7079" w:rsidRPr="00F41258">
        <w:t>kombiniert</w:t>
      </w:r>
      <w:r w:rsidR="00DF33F4" w:rsidRPr="00F41258">
        <w:t xml:space="preserve"> sein.</w:t>
      </w:r>
      <w:r w:rsidR="00D14228" w:rsidRPr="00F41258">
        <w:t xml:space="preserve"> Die</w:t>
      </w:r>
      <w:r w:rsidR="006E2B4E" w:rsidRPr="00F41258">
        <w:t>se Anlagen sind</w:t>
      </w:r>
      <w:r w:rsidRPr="00F41258">
        <w:t xml:space="preserve"> </w:t>
      </w:r>
      <w:r w:rsidR="00A176CE" w:rsidRPr="00F41258">
        <w:t>mindestens</w:t>
      </w:r>
      <w:r w:rsidRPr="00F41258">
        <w:t xml:space="preserve"> so zu dimensionieren, dass</w:t>
      </w:r>
      <w:r w:rsidR="006E2B4E" w:rsidRPr="00F41258">
        <w:t xml:space="preserve"> sie</w:t>
      </w:r>
      <w:r w:rsidRPr="00F41258">
        <w:t xml:space="preserve"> die Trinkwassererwärmung </w:t>
      </w:r>
      <w:r w:rsidR="002D26C9" w:rsidRPr="00F41258">
        <w:t xml:space="preserve">bilanziell </w:t>
      </w:r>
      <w:r w:rsidRPr="00F41258">
        <w:t xml:space="preserve">vollständig </w:t>
      </w:r>
      <w:r w:rsidR="006E2B4E" w:rsidRPr="00F41258">
        <w:t>decken könnten</w:t>
      </w:r>
      <w:r w:rsidRPr="00F41258">
        <w:t>. Die Bilanzierung</w:t>
      </w:r>
      <w:r w:rsidR="00D14228" w:rsidRPr="00F41258">
        <w:t xml:space="preserve"> orientiert sich an den Standardwerten der DIN V 18599.</w:t>
      </w:r>
    </w:p>
    <w:p w14:paraId="4FFC56C1" w14:textId="4E95FDF0" w:rsidR="00232CB1" w:rsidRPr="00F41258" w:rsidRDefault="00232CB1" w:rsidP="00EB6174">
      <w:pPr>
        <w:pStyle w:val="berschrift3"/>
      </w:pPr>
      <w:bookmarkStart w:id="220" w:name="_Emissionen"/>
      <w:bookmarkStart w:id="221" w:name="_Toc144908073"/>
      <w:bookmarkEnd w:id="219"/>
      <w:bookmarkEnd w:id="220"/>
      <w:r w:rsidRPr="00F41258">
        <w:t>Emissionen</w:t>
      </w:r>
      <w:bookmarkEnd w:id="221"/>
    </w:p>
    <w:p w14:paraId="1E9909E0" w14:textId="77777777" w:rsidR="00232CB1" w:rsidRPr="00F41258" w:rsidRDefault="00232CB1" w:rsidP="00583FF0">
      <w:r w:rsidRPr="00F41258">
        <w:t>Alle Biomasseanlagen müssen folgende Emissionsgrenzwerte einhalten (bezogen auf einen Volumengehalt an Sauerstoff im Abgas von 13 % im Normzustand [273 K, 1013 hPa]):</w:t>
      </w:r>
    </w:p>
    <w:p w14:paraId="701C8F18" w14:textId="5EAD1903" w:rsidR="00232CB1" w:rsidRPr="00F41258" w:rsidRDefault="00232CB1" w:rsidP="009B6F99">
      <w:pPr>
        <w:pStyle w:val="Listenabsatz"/>
        <w:numPr>
          <w:ilvl w:val="0"/>
          <w:numId w:val="18"/>
        </w:numPr>
      </w:pPr>
      <w:r w:rsidRPr="00F41258">
        <w:t>Kohlenmonoxid: 200 mg/m</w:t>
      </w:r>
      <w:r w:rsidRPr="00F41258">
        <w:rPr>
          <w:vertAlign w:val="superscript"/>
        </w:rPr>
        <w:t>3</w:t>
      </w:r>
      <w:r w:rsidRPr="00F41258">
        <w:t xml:space="preserve"> bei Nennwärmeleistung, 250 mg/m</w:t>
      </w:r>
      <w:r w:rsidRPr="00F41258">
        <w:rPr>
          <w:vertAlign w:val="superscript"/>
        </w:rPr>
        <w:t>3</w:t>
      </w:r>
      <w:r w:rsidRPr="00F41258">
        <w:t xml:space="preserve"> bei Teillastbetrieb (für Brennstoffe nach § 3 Absatz 1 Nummer 8 der 1. BImSchV)</w:t>
      </w:r>
      <w:r w:rsidR="00A30AA8" w:rsidRPr="00F41258">
        <w:t>;</w:t>
      </w:r>
    </w:p>
    <w:p w14:paraId="12AA78D1" w14:textId="7F30D031" w:rsidR="00232CB1" w:rsidRPr="00F41258" w:rsidRDefault="00232CB1" w:rsidP="009B6F99">
      <w:pPr>
        <w:pStyle w:val="Listenabsatz"/>
        <w:numPr>
          <w:ilvl w:val="0"/>
          <w:numId w:val="18"/>
        </w:numPr>
      </w:pPr>
      <w:r w:rsidRPr="00F41258">
        <w:t xml:space="preserve">Staub: </w:t>
      </w:r>
      <w:r w:rsidR="005D0AED" w:rsidRPr="00F41258">
        <w:t xml:space="preserve">2,5 </w:t>
      </w:r>
      <w:r w:rsidRPr="00F41258">
        <w:t>mg/m</w:t>
      </w:r>
      <w:r w:rsidRPr="00F41258">
        <w:rPr>
          <w:vertAlign w:val="superscript"/>
        </w:rPr>
        <w:t>3</w:t>
      </w:r>
      <w:r w:rsidR="00A30AA8" w:rsidRPr="00F41258">
        <w:t>.</w:t>
      </w:r>
    </w:p>
    <w:p w14:paraId="30E9AF63" w14:textId="245AEEDF" w:rsidR="00232CB1" w:rsidRPr="00F41258" w:rsidRDefault="00232CB1" w:rsidP="00EB6174">
      <w:pPr>
        <w:pStyle w:val="berschrift3"/>
      </w:pPr>
      <w:bookmarkStart w:id="222" w:name="_Toc144908074"/>
      <w:r w:rsidRPr="00F41258">
        <w:t>Nachweise</w:t>
      </w:r>
      <w:bookmarkEnd w:id="222"/>
    </w:p>
    <w:p w14:paraId="0FFA2B0E" w14:textId="08E64A14" w:rsidR="00232CB1" w:rsidRPr="00F41258" w:rsidRDefault="00232CB1" w:rsidP="009B6F99">
      <w:pPr>
        <w:pStyle w:val="Listenabsatz"/>
        <w:numPr>
          <w:ilvl w:val="0"/>
          <w:numId w:val="18"/>
        </w:numPr>
      </w:pPr>
      <w:r w:rsidRPr="00F41258">
        <w:t>Bestätigung eines Fachunternehmens über die Durchführung des hydraulischen Abgleichs unter Verwendung des Bestätigungsformulars für Einzelmaßnahmen</w:t>
      </w:r>
      <w:r w:rsidR="00DB3CF2" w:rsidRPr="00F41258">
        <w:t xml:space="preserve"> der „</w:t>
      </w:r>
      <w:proofErr w:type="spellStart"/>
      <w:r w:rsidR="00DB3CF2" w:rsidRPr="00F41258">
        <w:t>VdZ</w:t>
      </w:r>
      <w:proofErr w:type="spellEnd"/>
      <w:r w:rsidR="00DB3CF2" w:rsidRPr="00F41258">
        <w:t xml:space="preserve"> − Wirtschaftsvereinigung Gebäude und Energie e.V.“ (www.vdzev.de/broschueren/formulare-hydraulischer-abgleich)</w:t>
      </w:r>
    </w:p>
    <w:p w14:paraId="0B527382" w14:textId="5C66AB46" w:rsidR="00232CB1" w:rsidRPr="00F41258" w:rsidRDefault="00232CB1" w:rsidP="009B6F99">
      <w:pPr>
        <w:pStyle w:val="Listenabsatz"/>
        <w:numPr>
          <w:ilvl w:val="0"/>
          <w:numId w:val="18"/>
        </w:numPr>
      </w:pPr>
      <w:r w:rsidRPr="00F41258">
        <w:t>Fachunternehmererklärung</w:t>
      </w:r>
    </w:p>
    <w:p w14:paraId="7525F746" w14:textId="435B43E9" w:rsidR="00232CB1" w:rsidRPr="00F41258" w:rsidRDefault="00232CB1" w:rsidP="009B6F99">
      <w:pPr>
        <w:pStyle w:val="Listenabsatz"/>
        <w:numPr>
          <w:ilvl w:val="0"/>
          <w:numId w:val="18"/>
        </w:numPr>
      </w:pPr>
      <w:r w:rsidRPr="00F41258">
        <w:lastRenderedPageBreak/>
        <w:t>Vorhabenbezogene Rechnungen und Nachweise über die geleisteten Zahlungen, Aufstellung der förderfähigen Investitionsmaßnahmen und -kosten</w:t>
      </w:r>
    </w:p>
    <w:p w14:paraId="4C8C2959" w14:textId="4A2D540F" w:rsidR="00232CB1" w:rsidRPr="00F41258" w:rsidRDefault="00232CB1" w:rsidP="009B6F99">
      <w:pPr>
        <w:pStyle w:val="Listenabsatz"/>
        <w:numPr>
          <w:ilvl w:val="0"/>
          <w:numId w:val="18"/>
        </w:numPr>
      </w:pPr>
      <w:r w:rsidRPr="00F41258">
        <w:t>Prüfbericht bzw. Prüfzertifikat nach Prüfung nach EN 303-5 durch ein gemäß ISO 17025 akkreditiertes Prüfinstitut (Biomassekessel) oder Prüfung nach EN 14785 durch ein gemäß ISO 17025 akkreditiertes Prüfinstitut (Pelletöfen mit Wassertasche)</w:t>
      </w:r>
    </w:p>
    <w:p w14:paraId="381B0AFB" w14:textId="73968554" w:rsidR="00232CB1" w:rsidRPr="00F41258" w:rsidRDefault="00815852" w:rsidP="009B6F99">
      <w:pPr>
        <w:pStyle w:val="Listenabsatz"/>
        <w:numPr>
          <w:ilvl w:val="0"/>
          <w:numId w:val="19"/>
        </w:numPr>
      </w:pPr>
      <w:r w:rsidRPr="00F41258">
        <w:t xml:space="preserve">die </w:t>
      </w:r>
      <w:r w:rsidR="00232CB1" w:rsidRPr="00F41258">
        <w:t>förderfähige</w:t>
      </w:r>
      <w:r w:rsidRPr="00F41258">
        <w:t>n</w:t>
      </w:r>
      <w:r w:rsidR="00232CB1" w:rsidRPr="00F41258">
        <w:t xml:space="preserve"> Biomasseanlagen sind in Anlagenlisten aufgeführt, die vom BAFA fortlaufend aktualisiert werden (</w:t>
      </w:r>
      <w:hyperlink r:id="rId23" w:tooltip="http://www.bafa.de" w:history="1">
        <w:r w:rsidR="00232CB1" w:rsidRPr="00F41258">
          <w:rPr>
            <w:rStyle w:val="Hyperlink"/>
            <w:color w:val="auto"/>
          </w:rPr>
          <w:t>www.bafa.de</w:t>
        </w:r>
      </w:hyperlink>
      <w:r w:rsidR="00232CB1" w:rsidRPr="00F41258">
        <w:t>).</w:t>
      </w:r>
    </w:p>
    <w:p w14:paraId="00811C40" w14:textId="66E94573" w:rsidR="00232CB1" w:rsidRPr="00F41258" w:rsidRDefault="00232CB1" w:rsidP="009B6F99">
      <w:pPr>
        <w:pStyle w:val="Listenabsatz"/>
        <w:numPr>
          <w:ilvl w:val="0"/>
          <w:numId w:val="19"/>
        </w:numPr>
      </w:pPr>
      <w:r w:rsidRPr="00F41258">
        <w:t xml:space="preserve">Prüfbericht bzw. Prüfzertifikat nach </w:t>
      </w:r>
      <w:hyperlink w:anchor="_Biomasseheizungen" w:history="1">
        <w:r w:rsidR="00F17499" w:rsidRPr="00F41258">
          <w:rPr>
            <w:rStyle w:val="Hyperlink"/>
          </w:rPr>
          <w:t xml:space="preserve">TMA </w:t>
        </w:r>
        <w:r w:rsidRPr="00F41258">
          <w:rPr>
            <w:rStyle w:val="Hyperlink"/>
          </w:rPr>
          <w:t>Nummer 3.</w:t>
        </w:r>
        <w:r w:rsidR="00F17499" w:rsidRPr="00F41258">
          <w:rPr>
            <w:rStyle w:val="Hyperlink"/>
          </w:rPr>
          <w:t>3</w:t>
        </w:r>
      </w:hyperlink>
      <w:r w:rsidRPr="00F41258">
        <w:t xml:space="preserve"> (unabhängige Prüfung/Zertifizierung) und </w:t>
      </w:r>
      <w:hyperlink w:anchor="_Energieeffizienz" w:history="1">
        <w:r w:rsidR="00F17499" w:rsidRPr="00F41258">
          <w:rPr>
            <w:rStyle w:val="Hyperlink"/>
          </w:rPr>
          <w:t xml:space="preserve">TMA </w:t>
        </w:r>
        <w:r w:rsidRPr="00F41258">
          <w:rPr>
            <w:rStyle w:val="Hyperlink"/>
          </w:rPr>
          <w:t>Nummer 3.</w:t>
        </w:r>
        <w:r w:rsidR="00F17499" w:rsidRPr="00F41258">
          <w:rPr>
            <w:rStyle w:val="Hyperlink"/>
          </w:rPr>
          <w:t>3</w:t>
        </w:r>
        <w:r w:rsidRPr="00F41258">
          <w:rPr>
            <w:rStyle w:val="Hyperlink"/>
          </w:rPr>
          <w:t>.2</w:t>
        </w:r>
      </w:hyperlink>
      <w:r w:rsidRPr="00F41258">
        <w:t>, wenn nicht aus der Typenprüfung hervorgehend</w:t>
      </w:r>
    </w:p>
    <w:p w14:paraId="7425674A" w14:textId="5C2CC848" w:rsidR="00232CB1" w:rsidRPr="00F41258" w:rsidRDefault="00232CB1" w:rsidP="009B6F99">
      <w:pPr>
        <w:pStyle w:val="Listenabsatz"/>
        <w:numPr>
          <w:ilvl w:val="0"/>
          <w:numId w:val="19"/>
        </w:numPr>
      </w:pPr>
      <w:r w:rsidRPr="00F41258">
        <w:t xml:space="preserve">Prüfbericht bzw. Prüfzertifikat nach </w:t>
      </w:r>
      <w:hyperlink w:anchor="_Emissionen" w:history="1">
        <w:r w:rsidR="00F17499" w:rsidRPr="00F41258">
          <w:rPr>
            <w:rStyle w:val="Hyperlink"/>
          </w:rPr>
          <w:t xml:space="preserve">TMA </w:t>
        </w:r>
        <w:r w:rsidRPr="00F41258">
          <w:rPr>
            <w:rStyle w:val="Hyperlink"/>
          </w:rPr>
          <w:t>Nummer 3.</w:t>
        </w:r>
        <w:r w:rsidR="00F17499" w:rsidRPr="00F41258">
          <w:rPr>
            <w:rStyle w:val="Hyperlink"/>
          </w:rPr>
          <w:t>3</w:t>
        </w:r>
        <w:r w:rsidRPr="00F41258">
          <w:rPr>
            <w:rStyle w:val="Hyperlink"/>
          </w:rPr>
          <w:t>.3</w:t>
        </w:r>
      </w:hyperlink>
      <w:r w:rsidRPr="00F41258">
        <w:t xml:space="preserve"> (Emissionen), wenn nicht aus der Typenprüfung hervorgehend</w:t>
      </w:r>
    </w:p>
    <w:p w14:paraId="59F869E2" w14:textId="53BA04D5" w:rsidR="00232CB1" w:rsidRPr="00F41258" w:rsidRDefault="00232CB1" w:rsidP="009B6F99">
      <w:pPr>
        <w:pStyle w:val="Listenabsatz"/>
        <w:numPr>
          <w:ilvl w:val="0"/>
          <w:numId w:val="19"/>
        </w:numPr>
      </w:pPr>
      <w:r w:rsidRPr="00F41258">
        <w:t>Herstellernachweise zu den produktspezifischen Kenndaten und Geräteeigenschaften</w:t>
      </w:r>
    </w:p>
    <w:p w14:paraId="2A02ECFA" w14:textId="698CCC8C" w:rsidR="00232CB1" w:rsidRPr="00F41258" w:rsidRDefault="00754BC8" w:rsidP="00583FF0">
      <w:pPr>
        <w:pStyle w:val="berschrift2"/>
      </w:pPr>
      <w:bookmarkStart w:id="223" w:name="_Elektrisch_angetriebene_Wärmepumpen_1"/>
      <w:bookmarkStart w:id="224" w:name="_Toc112915722"/>
      <w:bookmarkStart w:id="225" w:name="_Toc144908075"/>
      <w:bookmarkEnd w:id="223"/>
      <w:r w:rsidRPr="00F41258">
        <w:t>Elektrisch angetriebene</w:t>
      </w:r>
      <w:r w:rsidR="00232CB1" w:rsidRPr="00F41258">
        <w:t xml:space="preserve"> Wärmepumpen</w:t>
      </w:r>
      <w:bookmarkEnd w:id="224"/>
      <w:bookmarkEnd w:id="225"/>
    </w:p>
    <w:p w14:paraId="2ADD77B3" w14:textId="686A77CD" w:rsidR="00232CB1" w:rsidRPr="00F41258" w:rsidRDefault="00232CB1" w:rsidP="00583FF0">
      <w:r w:rsidRPr="00F41258">
        <w:t>Förderfähig sind Anlagen, die erneuerbare Energien im Gebäude oder in unmittelbarer Nähe zum versorgten Gebäude zu den in der Förderrichtlinie zur Bundesförderung für effiziente Gebäude – Einzelmaßnahmen, genannten Zwecken, einsetzen.</w:t>
      </w:r>
      <w:r w:rsidR="00590E4E" w:rsidRPr="00F41258">
        <w:t xml:space="preserve"> Wärmepumpen</w:t>
      </w:r>
      <w:r w:rsidR="003E583D" w:rsidRPr="00F41258">
        <w:t>, die mit Gas betrieben werden oder Raumluft als Wärmequelle nutzen</w:t>
      </w:r>
      <w:r w:rsidR="00590E4E" w:rsidRPr="00F41258">
        <w:t xml:space="preserve"> werden nicht gefördert.</w:t>
      </w:r>
      <w:r w:rsidRPr="00F41258">
        <w:t xml:space="preserve"> </w:t>
      </w:r>
      <w:r w:rsidR="00261961" w:rsidRPr="00F41258">
        <w:t>Elektrisch</w:t>
      </w:r>
      <w:r w:rsidR="00590E4E" w:rsidRPr="00F41258">
        <w:t xml:space="preserve"> betriebene</w:t>
      </w:r>
      <w:r w:rsidR="00261961" w:rsidRPr="00F41258">
        <w:t xml:space="preserve"> </w:t>
      </w:r>
      <w:r w:rsidRPr="00F41258">
        <w:t xml:space="preserve">Wärmepumpen </w:t>
      </w:r>
      <w:r w:rsidR="00784884" w:rsidRPr="00F41258">
        <w:t>(auch als Komponente einer bivalenten Heizungsanlage)</w:t>
      </w:r>
      <w:r w:rsidRPr="00F41258">
        <w:t xml:space="preserve"> </w:t>
      </w:r>
      <w:r w:rsidRPr="00F41258">
        <w:t>können gefördert werden, wenn die nachfolgend genannten technischen Vorgaben erfüllt werden:</w:t>
      </w:r>
    </w:p>
    <w:p w14:paraId="0D45DFB4" w14:textId="32448EE2" w:rsidR="00232CB1" w:rsidRPr="00F41258" w:rsidRDefault="00232CB1" w:rsidP="00EB6174">
      <w:pPr>
        <w:pStyle w:val="berschrift3"/>
      </w:pPr>
      <w:bookmarkStart w:id="226" w:name="_Toc144908076"/>
      <w:r w:rsidRPr="00F41258">
        <w:t>Unabhängige Prüfung/Zertifizierung</w:t>
      </w:r>
      <w:bookmarkEnd w:id="226"/>
    </w:p>
    <w:p w14:paraId="4CA3AF6B" w14:textId="77777777" w:rsidR="00232CB1" w:rsidRPr="00F41258" w:rsidRDefault="00232CB1" w:rsidP="00583FF0">
      <w:r w:rsidRPr="00F41258">
        <w:t>Einzelprüfung nach EN 14511/EN 14825 oder darauf basierende Zertifizierung nach einem der etablierten europäischen Baureihenreglements (EHPA, Keymark, EUROVENT ECP, MCS, NF, etc.) durch ein nach ISO 17025 akkreditiertes Prüfinstitut.</w:t>
      </w:r>
    </w:p>
    <w:p w14:paraId="3E8D6A19" w14:textId="6B3ED344" w:rsidR="00232CB1" w:rsidRPr="00F41258" w:rsidRDefault="00232CB1" w:rsidP="00EB6174">
      <w:pPr>
        <w:pStyle w:val="berschrift3"/>
      </w:pPr>
      <w:bookmarkStart w:id="227" w:name="_Toc144908077"/>
      <w:r w:rsidRPr="00F41258">
        <w:t>Energieeffizienz</w:t>
      </w:r>
      <w:bookmarkEnd w:id="227"/>
    </w:p>
    <w:tbl>
      <w:tblPr>
        <w:tblW w:w="9012" w:type="dxa"/>
        <w:tblInd w:w="55" w:type="dxa"/>
        <w:tblLayout w:type="fixed"/>
        <w:tblCellMar>
          <w:top w:w="55" w:type="dxa"/>
          <w:left w:w="55" w:type="dxa"/>
          <w:bottom w:w="55" w:type="dxa"/>
          <w:right w:w="55" w:type="dxa"/>
        </w:tblCellMar>
        <w:tblLook w:val="0000" w:firstRow="0" w:lastRow="0" w:firstColumn="0" w:lastColumn="0" w:noHBand="0" w:noVBand="0"/>
      </w:tblPr>
      <w:tblGrid>
        <w:gridCol w:w="3048"/>
        <w:gridCol w:w="167"/>
        <w:gridCol w:w="3094"/>
        <w:gridCol w:w="121"/>
        <w:gridCol w:w="2582"/>
      </w:tblGrid>
      <w:tr w:rsidR="00232CB1" w:rsidRPr="00F41258" w14:paraId="7EF539B7" w14:textId="77777777" w:rsidTr="00C8225B">
        <w:trPr>
          <w:trHeight w:val="917"/>
        </w:trPr>
        <w:tc>
          <w:tcPr>
            <w:tcW w:w="901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0E3D380" w14:textId="08428FBD" w:rsidR="00261961" w:rsidRPr="00F41258" w:rsidRDefault="00232CB1" w:rsidP="008F3204">
            <w:pPr>
              <w:jc w:val="left"/>
            </w:pPr>
            <w:r w:rsidRPr="00F41258">
              <w:t>Wärmepumpen – Beheizung über Wasser</w:t>
            </w:r>
          </w:p>
          <w:p w14:paraId="522C0CD5" w14:textId="79B49C79" w:rsidR="00232CB1" w:rsidRPr="00F41258" w:rsidRDefault="00232CB1" w:rsidP="00583FF0">
            <w:r w:rsidRPr="00F41258">
              <w:t xml:space="preserve">Die „jahreszeitbedingte Raumheizungs-Energieeffizienz“ </w:t>
            </w:r>
            <w:proofErr w:type="spellStart"/>
            <w:r w:rsidRPr="00F41258">
              <w:t>ƞ</w:t>
            </w:r>
            <w:r w:rsidRPr="00F41258">
              <w:rPr>
                <w:vertAlign w:val="subscript"/>
              </w:rPr>
              <w:t>s</w:t>
            </w:r>
            <w:proofErr w:type="spellEnd"/>
            <w:r w:rsidRPr="00F41258">
              <w:t xml:space="preserve"> (= ETAs) gemäß Öko-Design-Richtlinie förderfähiger Wärmepumpen muss bei durchschnittlichen Klimaverhältnissen mindestens folgende Werte bei 35 °C und 55 °C erreichen. Wärmepumpen, die gemäß Öko-Design-Richtlinie als Niedertemperatur-Wärmepumpen gelten, müssen nur die </w:t>
            </w:r>
            <w:proofErr w:type="spellStart"/>
            <w:r w:rsidRPr="00F41258">
              <w:t>ƞ</w:t>
            </w:r>
            <w:r w:rsidRPr="00F41258">
              <w:rPr>
                <w:vertAlign w:val="subscript"/>
              </w:rPr>
              <w:t>s</w:t>
            </w:r>
            <w:proofErr w:type="spellEnd"/>
            <w:r w:rsidRPr="00F41258">
              <w:t>-Anforderungen bei 35 °C erfüllen.</w:t>
            </w:r>
          </w:p>
        </w:tc>
      </w:tr>
      <w:tr w:rsidR="001447B8" w:rsidRPr="00F41258" w:rsidDel="00261961" w14:paraId="2347D271" w14:textId="77777777" w:rsidTr="00C8225B">
        <w:trPr>
          <w:trHeight w:val="57"/>
        </w:trPr>
        <w:tc>
          <w:tcPr>
            <w:tcW w:w="3215" w:type="dxa"/>
            <w:gridSpan w:val="2"/>
            <w:tcBorders>
              <w:top w:val="single" w:sz="4" w:space="0" w:color="auto"/>
              <w:left w:val="single" w:sz="4" w:space="0" w:color="auto"/>
              <w:bottom w:val="single" w:sz="4" w:space="0" w:color="000000"/>
              <w:right w:val="single" w:sz="4" w:space="0" w:color="auto"/>
            </w:tcBorders>
            <w:shd w:val="clear" w:color="auto" w:fill="auto"/>
          </w:tcPr>
          <w:p w14:paraId="72AFEBCC" w14:textId="77777777" w:rsidR="001447B8" w:rsidRPr="00F41258" w:rsidDel="00261961" w:rsidRDefault="001447B8" w:rsidP="001447B8">
            <w:pPr>
              <w:pStyle w:val="Tabelleninhalt"/>
            </w:pPr>
          </w:p>
        </w:tc>
        <w:tc>
          <w:tcPr>
            <w:tcW w:w="3215" w:type="dxa"/>
            <w:gridSpan w:val="2"/>
            <w:tcBorders>
              <w:top w:val="single" w:sz="4" w:space="0" w:color="auto"/>
              <w:left w:val="single" w:sz="4" w:space="0" w:color="auto"/>
              <w:bottom w:val="single" w:sz="4" w:space="0" w:color="000000"/>
              <w:right w:val="single" w:sz="4" w:space="0" w:color="auto"/>
            </w:tcBorders>
            <w:shd w:val="clear" w:color="auto" w:fill="auto"/>
          </w:tcPr>
          <w:p w14:paraId="61F5E28D" w14:textId="36ECD96E" w:rsidR="001447B8" w:rsidRPr="00F41258" w:rsidDel="00261961" w:rsidRDefault="001447B8" w:rsidP="001447B8">
            <w:pPr>
              <w:pStyle w:val="Tabelleninhalt"/>
            </w:pPr>
            <w:proofErr w:type="spellStart"/>
            <w:r w:rsidRPr="00F41258">
              <w:rPr>
                <w:rFonts w:ascii="Arial" w:hAnsi="Arial"/>
                <w:sz w:val="22"/>
                <w:szCs w:val="22"/>
              </w:rPr>
              <w:t>ƞ</w:t>
            </w:r>
            <w:r w:rsidRPr="00F41258">
              <w:rPr>
                <w:rFonts w:ascii="Arial" w:hAnsi="Arial"/>
                <w:sz w:val="22"/>
                <w:szCs w:val="22"/>
                <w:vertAlign w:val="subscript"/>
              </w:rPr>
              <w:t>s</w:t>
            </w:r>
            <w:proofErr w:type="spellEnd"/>
            <w:r w:rsidRPr="00F41258">
              <w:rPr>
                <w:rFonts w:ascii="Arial" w:hAnsi="Arial"/>
                <w:sz w:val="22"/>
                <w:szCs w:val="22"/>
              </w:rPr>
              <w:t xml:space="preserve"> bei (35°C)</w:t>
            </w:r>
          </w:p>
        </w:tc>
        <w:tc>
          <w:tcPr>
            <w:tcW w:w="2582" w:type="dxa"/>
            <w:tcBorders>
              <w:top w:val="single" w:sz="4" w:space="0" w:color="auto"/>
              <w:left w:val="single" w:sz="4" w:space="0" w:color="auto"/>
              <w:bottom w:val="single" w:sz="4" w:space="0" w:color="000000"/>
              <w:right w:val="single" w:sz="4" w:space="0" w:color="auto"/>
            </w:tcBorders>
            <w:shd w:val="clear" w:color="auto" w:fill="auto"/>
          </w:tcPr>
          <w:p w14:paraId="287B7518" w14:textId="375E106D" w:rsidR="001447B8" w:rsidRPr="00F41258" w:rsidDel="00261961" w:rsidRDefault="001447B8" w:rsidP="001447B8">
            <w:pPr>
              <w:pStyle w:val="Tabelleninhalt"/>
            </w:pPr>
            <w:proofErr w:type="spellStart"/>
            <w:r w:rsidRPr="00F41258">
              <w:rPr>
                <w:rFonts w:ascii="Arial" w:hAnsi="Arial"/>
                <w:sz w:val="22"/>
                <w:szCs w:val="22"/>
              </w:rPr>
              <w:t>ƞ</w:t>
            </w:r>
            <w:r w:rsidRPr="00F41258">
              <w:rPr>
                <w:rFonts w:ascii="Arial" w:hAnsi="Arial"/>
                <w:sz w:val="22"/>
                <w:szCs w:val="22"/>
                <w:vertAlign w:val="subscript"/>
              </w:rPr>
              <w:t>s</w:t>
            </w:r>
            <w:proofErr w:type="spellEnd"/>
            <w:r w:rsidRPr="00F41258">
              <w:rPr>
                <w:rFonts w:ascii="Arial" w:hAnsi="Arial"/>
                <w:sz w:val="22"/>
                <w:szCs w:val="22"/>
              </w:rPr>
              <w:t xml:space="preserve"> bei (55°C)</w:t>
            </w:r>
          </w:p>
        </w:tc>
      </w:tr>
      <w:tr w:rsidR="001447B8" w:rsidRPr="00F41258" w:rsidDel="00261961" w14:paraId="36DA67F1" w14:textId="77777777" w:rsidTr="00C8225B">
        <w:trPr>
          <w:trHeight w:val="57"/>
        </w:trPr>
        <w:tc>
          <w:tcPr>
            <w:tcW w:w="3215" w:type="dxa"/>
            <w:gridSpan w:val="2"/>
            <w:tcBorders>
              <w:top w:val="single" w:sz="4" w:space="0" w:color="auto"/>
              <w:left w:val="single" w:sz="4" w:space="0" w:color="auto"/>
              <w:bottom w:val="single" w:sz="4" w:space="0" w:color="000000"/>
              <w:right w:val="single" w:sz="4" w:space="0" w:color="auto"/>
            </w:tcBorders>
            <w:shd w:val="clear" w:color="auto" w:fill="auto"/>
          </w:tcPr>
          <w:p w14:paraId="565AE1F4" w14:textId="2EA8F9AB" w:rsidR="001447B8" w:rsidRPr="00F41258" w:rsidDel="00261961" w:rsidRDefault="001447B8" w:rsidP="001447B8">
            <w:pPr>
              <w:pStyle w:val="Tabelleninhalt"/>
            </w:pPr>
            <w:r w:rsidRPr="00F41258">
              <w:rPr>
                <w:rFonts w:ascii="Arial" w:hAnsi="Arial"/>
                <w:sz w:val="22"/>
                <w:szCs w:val="22"/>
              </w:rPr>
              <w:t>Wärmequelle Luft</w:t>
            </w:r>
          </w:p>
        </w:tc>
        <w:tc>
          <w:tcPr>
            <w:tcW w:w="3215" w:type="dxa"/>
            <w:gridSpan w:val="2"/>
            <w:tcBorders>
              <w:top w:val="single" w:sz="4" w:space="0" w:color="auto"/>
              <w:left w:val="single" w:sz="4" w:space="0" w:color="auto"/>
              <w:bottom w:val="single" w:sz="4" w:space="0" w:color="000000"/>
              <w:right w:val="single" w:sz="4" w:space="0" w:color="auto"/>
            </w:tcBorders>
            <w:shd w:val="clear" w:color="auto" w:fill="auto"/>
          </w:tcPr>
          <w:p w14:paraId="779B42C0" w14:textId="44F1EE2C" w:rsidR="001447B8" w:rsidRPr="00F41258" w:rsidDel="00261961" w:rsidRDefault="001447B8" w:rsidP="001447B8">
            <w:pPr>
              <w:pStyle w:val="Tabelleninhalt"/>
            </w:pPr>
            <w:r w:rsidRPr="00F41258">
              <w:rPr>
                <w:rFonts w:ascii="Arial" w:hAnsi="Arial"/>
                <w:sz w:val="22"/>
                <w:szCs w:val="22"/>
              </w:rPr>
              <w:t>135 %</w:t>
            </w:r>
          </w:p>
        </w:tc>
        <w:tc>
          <w:tcPr>
            <w:tcW w:w="2582" w:type="dxa"/>
            <w:tcBorders>
              <w:top w:val="single" w:sz="4" w:space="0" w:color="auto"/>
              <w:left w:val="single" w:sz="4" w:space="0" w:color="auto"/>
              <w:bottom w:val="single" w:sz="4" w:space="0" w:color="000000"/>
              <w:right w:val="single" w:sz="4" w:space="0" w:color="auto"/>
            </w:tcBorders>
            <w:shd w:val="clear" w:color="auto" w:fill="auto"/>
          </w:tcPr>
          <w:p w14:paraId="380870C1" w14:textId="104AECEC" w:rsidR="001447B8" w:rsidRPr="00F41258" w:rsidDel="00261961" w:rsidRDefault="001447B8" w:rsidP="001447B8">
            <w:pPr>
              <w:pStyle w:val="Tabelleninhalt"/>
            </w:pPr>
            <w:r w:rsidRPr="00F41258">
              <w:rPr>
                <w:rFonts w:ascii="Arial" w:hAnsi="Arial"/>
                <w:sz w:val="22"/>
                <w:szCs w:val="22"/>
              </w:rPr>
              <w:t>120 %</w:t>
            </w:r>
          </w:p>
        </w:tc>
      </w:tr>
      <w:tr w:rsidR="001447B8" w:rsidRPr="00F41258" w:rsidDel="00261961" w14:paraId="680CF3E5" w14:textId="77777777" w:rsidTr="00C8225B">
        <w:trPr>
          <w:trHeight w:val="57"/>
        </w:trPr>
        <w:tc>
          <w:tcPr>
            <w:tcW w:w="3215" w:type="dxa"/>
            <w:gridSpan w:val="2"/>
            <w:tcBorders>
              <w:top w:val="single" w:sz="4" w:space="0" w:color="auto"/>
              <w:left w:val="single" w:sz="4" w:space="0" w:color="auto"/>
              <w:bottom w:val="single" w:sz="4" w:space="0" w:color="000000"/>
              <w:right w:val="single" w:sz="4" w:space="0" w:color="auto"/>
            </w:tcBorders>
            <w:shd w:val="clear" w:color="auto" w:fill="auto"/>
          </w:tcPr>
          <w:p w14:paraId="1FEA57E7" w14:textId="1265992D" w:rsidR="001447B8" w:rsidRPr="00F41258" w:rsidDel="00261961" w:rsidRDefault="001447B8" w:rsidP="001447B8">
            <w:pPr>
              <w:pStyle w:val="Tabelleninhalt"/>
            </w:pPr>
            <w:r w:rsidRPr="00F41258">
              <w:rPr>
                <w:rFonts w:ascii="Arial" w:hAnsi="Arial"/>
                <w:sz w:val="22"/>
                <w:szCs w:val="22"/>
              </w:rPr>
              <w:t>Wärmequelle Erdwärme</w:t>
            </w:r>
          </w:p>
        </w:tc>
        <w:tc>
          <w:tcPr>
            <w:tcW w:w="3215" w:type="dxa"/>
            <w:gridSpan w:val="2"/>
            <w:tcBorders>
              <w:top w:val="single" w:sz="4" w:space="0" w:color="auto"/>
              <w:left w:val="single" w:sz="4" w:space="0" w:color="auto"/>
              <w:bottom w:val="single" w:sz="4" w:space="0" w:color="000000"/>
              <w:right w:val="single" w:sz="4" w:space="0" w:color="auto"/>
            </w:tcBorders>
            <w:shd w:val="clear" w:color="auto" w:fill="auto"/>
          </w:tcPr>
          <w:p w14:paraId="7C3AF2C2" w14:textId="256FD288" w:rsidR="001447B8" w:rsidRPr="00F41258" w:rsidDel="00261961" w:rsidRDefault="001447B8" w:rsidP="001447B8">
            <w:pPr>
              <w:pStyle w:val="Tabelleninhalt"/>
            </w:pPr>
            <w:r w:rsidRPr="00F41258">
              <w:rPr>
                <w:rFonts w:ascii="Arial" w:hAnsi="Arial"/>
                <w:sz w:val="22"/>
                <w:szCs w:val="22"/>
              </w:rPr>
              <w:t>150 %</w:t>
            </w:r>
          </w:p>
        </w:tc>
        <w:tc>
          <w:tcPr>
            <w:tcW w:w="2582" w:type="dxa"/>
            <w:tcBorders>
              <w:top w:val="single" w:sz="4" w:space="0" w:color="auto"/>
              <w:left w:val="single" w:sz="4" w:space="0" w:color="auto"/>
              <w:bottom w:val="single" w:sz="4" w:space="0" w:color="000000"/>
              <w:right w:val="single" w:sz="4" w:space="0" w:color="auto"/>
            </w:tcBorders>
            <w:shd w:val="clear" w:color="auto" w:fill="auto"/>
          </w:tcPr>
          <w:p w14:paraId="73D25B7E" w14:textId="7F5AAC0C" w:rsidR="001447B8" w:rsidRPr="00F41258" w:rsidDel="00261961" w:rsidRDefault="001447B8" w:rsidP="001447B8">
            <w:pPr>
              <w:pStyle w:val="Tabelleninhalt"/>
            </w:pPr>
            <w:r w:rsidRPr="00F41258">
              <w:rPr>
                <w:rFonts w:ascii="Arial" w:hAnsi="Arial"/>
                <w:sz w:val="22"/>
                <w:szCs w:val="22"/>
              </w:rPr>
              <w:t>135 %</w:t>
            </w:r>
          </w:p>
        </w:tc>
      </w:tr>
      <w:tr w:rsidR="001447B8" w:rsidRPr="00F41258" w:rsidDel="00261961" w14:paraId="0F2C34A5" w14:textId="77777777" w:rsidTr="00C8225B">
        <w:trPr>
          <w:trHeight w:val="57"/>
        </w:trPr>
        <w:tc>
          <w:tcPr>
            <w:tcW w:w="3215" w:type="dxa"/>
            <w:gridSpan w:val="2"/>
            <w:tcBorders>
              <w:top w:val="single" w:sz="4" w:space="0" w:color="auto"/>
              <w:left w:val="single" w:sz="4" w:space="0" w:color="auto"/>
              <w:bottom w:val="single" w:sz="4" w:space="0" w:color="000000"/>
              <w:right w:val="single" w:sz="4" w:space="0" w:color="auto"/>
            </w:tcBorders>
            <w:shd w:val="clear" w:color="auto" w:fill="auto"/>
          </w:tcPr>
          <w:p w14:paraId="2056EA4C" w14:textId="79D12E49" w:rsidR="001447B8" w:rsidRPr="00F41258" w:rsidDel="00261961" w:rsidRDefault="001447B8" w:rsidP="001447B8">
            <w:pPr>
              <w:pStyle w:val="Tabelleninhalt"/>
            </w:pPr>
            <w:r w:rsidRPr="00F41258">
              <w:rPr>
                <w:rFonts w:ascii="Arial" w:hAnsi="Arial"/>
                <w:sz w:val="22"/>
                <w:szCs w:val="22"/>
              </w:rPr>
              <w:t>Wärmequelle Wasser</w:t>
            </w:r>
          </w:p>
        </w:tc>
        <w:tc>
          <w:tcPr>
            <w:tcW w:w="3215" w:type="dxa"/>
            <w:gridSpan w:val="2"/>
            <w:tcBorders>
              <w:top w:val="single" w:sz="4" w:space="0" w:color="auto"/>
              <w:left w:val="single" w:sz="4" w:space="0" w:color="auto"/>
              <w:bottom w:val="single" w:sz="4" w:space="0" w:color="000000"/>
              <w:right w:val="single" w:sz="4" w:space="0" w:color="auto"/>
            </w:tcBorders>
            <w:shd w:val="clear" w:color="auto" w:fill="auto"/>
          </w:tcPr>
          <w:p w14:paraId="41671CAF" w14:textId="54874CFB" w:rsidR="001447B8" w:rsidRPr="00F41258" w:rsidDel="00261961" w:rsidRDefault="001447B8" w:rsidP="001447B8">
            <w:pPr>
              <w:pStyle w:val="Tabelleninhalt"/>
            </w:pPr>
            <w:r w:rsidRPr="00F41258">
              <w:rPr>
                <w:rFonts w:ascii="Arial" w:hAnsi="Arial"/>
                <w:sz w:val="22"/>
                <w:szCs w:val="22"/>
              </w:rPr>
              <w:t>150 %</w:t>
            </w:r>
          </w:p>
        </w:tc>
        <w:tc>
          <w:tcPr>
            <w:tcW w:w="2582" w:type="dxa"/>
            <w:tcBorders>
              <w:top w:val="single" w:sz="4" w:space="0" w:color="auto"/>
              <w:left w:val="single" w:sz="4" w:space="0" w:color="auto"/>
              <w:bottom w:val="single" w:sz="4" w:space="0" w:color="000000"/>
              <w:right w:val="single" w:sz="4" w:space="0" w:color="auto"/>
            </w:tcBorders>
            <w:shd w:val="clear" w:color="auto" w:fill="auto"/>
          </w:tcPr>
          <w:p w14:paraId="53F59399" w14:textId="724EFD39" w:rsidR="001447B8" w:rsidRPr="00F41258" w:rsidDel="00261961" w:rsidRDefault="001447B8" w:rsidP="001447B8">
            <w:pPr>
              <w:pStyle w:val="Tabelleninhalt"/>
            </w:pPr>
            <w:r w:rsidRPr="00F41258">
              <w:rPr>
                <w:rFonts w:ascii="Arial" w:hAnsi="Arial"/>
                <w:sz w:val="22"/>
                <w:szCs w:val="22"/>
              </w:rPr>
              <w:t>135 %</w:t>
            </w:r>
          </w:p>
        </w:tc>
      </w:tr>
      <w:tr w:rsidR="001447B8" w:rsidRPr="00F41258" w:rsidDel="00261961" w14:paraId="5D331098" w14:textId="77777777" w:rsidTr="00C8225B">
        <w:trPr>
          <w:trHeight w:val="57"/>
        </w:trPr>
        <w:tc>
          <w:tcPr>
            <w:tcW w:w="3215" w:type="dxa"/>
            <w:gridSpan w:val="2"/>
            <w:tcBorders>
              <w:top w:val="single" w:sz="4" w:space="0" w:color="auto"/>
              <w:left w:val="single" w:sz="4" w:space="0" w:color="auto"/>
              <w:bottom w:val="single" w:sz="4" w:space="0" w:color="000000"/>
              <w:right w:val="single" w:sz="4" w:space="0" w:color="auto"/>
            </w:tcBorders>
            <w:shd w:val="clear" w:color="auto" w:fill="auto"/>
          </w:tcPr>
          <w:p w14:paraId="0303EDA2" w14:textId="77777777" w:rsidR="001447B8" w:rsidRPr="00F41258" w:rsidRDefault="001447B8" w:rsidP="001447B8">
            <w:pPr>
              <w:pStyle w:val="Tabelleninhalt"/>
              <w:rPr>
                <w:rFonts w:ascii="Arial" w:hAnsi="Arial"/>
                <w:sz w:val="22"/>
                <w:szCs w:val="22"/>
              </w:rPr>
            </w:pPr>
            <w:r w:rsidRPr="00F41258">
              <w:rPr>
                <w:rFonts w:ascii="Arial" w:hAnsi="Arial"/>
                <w:sz w:val="22"/>
                <w:szCs w:val="22"/>
              </w:rPr>
              <w:t>Sonstige Wärmequellen</w:t>
            </w:r>
          </w:p>
          <w:p w14:paraId="5DA99791" w14:textId="48C00431" w:rsidR="001447B8" w:rsidRPr="00F41258" w:rsidDel="00261961" w:rsidRDefault="001447B8" w:rsidP="001447B8">
            <w:pPr>
              <w:pStyle w:val="Tabelleninhalt"/>
            </w:pPr>
            <w:r w:rsidRPr="00F41258">
              <w:rPr>
                <w:rFonts w:ascii="Arial" w:hAnsi="Arial"/>
                <w:sz w:val="22"/>
                <w:szCs w:val="22"/>
              </w:rPr>
              <w:lastRenderedPageBreak/>
              <w:t>(z.B. Abwärme, Solarwärme)</w:t>
            </w:r>
          </w:p>
        </w:tc>
        <w:tc>
          <w:tcPr>
            <w:tcW w:w="3215" w:type="dxa"/>
            <w:gridSpan w:val="2"/>
            <w:tcBorders>
              <w:top w:val="single" w:sz="4" w:space="0" w:color="auto"/>
              <w:left w:val="single" w:sz="4" w:space="0" w:color="auto"/>
              <w:bottom w:val="single" w:sz="4" w:space="0" w:color="000000"/>
              <w:right w:val="single" w:sz="4" w:space="0" w:color="auto"/>
            </w:tcBorders>
            <w:shd w:val="clear" w:color="auto" w:fill="auto"/>
          </w:tcPr>
          <w:p w14:paraId="4E286ADE" w14:textId="5B557628" w:rsidR="001447B8" w:rsidRPr="00F41258" w:rsidDel="00261961" w:rsidRDefault="001447B8" w:rsidP="001447B8">
            <w:pPr>
              <w:pStyle w:val="Tabelleninhalt"/>
            </w:pPr>
            <w:r w:rsidRPr="00F41258">
              <w:rPr>
                <w:rFonts w:ascii="Arial" w:hAnsi="Arial"/>
                <w:sz w:val="22"/>
                <w:szCs w:val="22"/>
              </w:rPr>
              <w:lastRenderedPageBreak/>
              <w:t>150 %</w:t>
            </w:r>
          </w:p>
        </w:tc>
        <w:tc>
          <w:tcPr>
            <w:tcW w:w="2582" w:type="dxa"/>
            <w:tcBorders>
              <w:top w:val="single" w:sz="4" w:space="0" w:color="auto"/>
              <w:left w:val="single" w:sz="4" w:space="0" w:color="auto"/>
              <w:bottom w:val="single" w:sz="4" w:space="0" w:color="000000"/>
              <w:right w:val="single" w:sz="4" w:space="0" w:color="auto"/>
            </w:tcBorders>
            <w:shd w:val="clear" w:color="auto" w:fill="auto"/>
          </w:tcPr>
          <w:p w14:paraId="2DEC4C2C" w14:textId="1699DC69" w:rsidR="001447B8" w:rsidRPr="00F41258" w:rsidDel="00261961" w:rsidRDefault="001447B8" w:rsidP="001447B8">
            <w:pPr>
              <w:pStyle w:val="Tabelleninhalt"/>
            </w:pPr>
            <w:r w:rsidRPr="00F41258">
              <w:rPr>
                <w:rFonts w:ascii="Arial" w:hAnsi="Arial"/>
                <w:sz w:val="22"/>
                <w:szCs w:val="22"/>
              </w:rPr>
              <w:t>135 %</w:t>
            </w:r>
          </w:p>
        </w:tc>
      </w:tr>
      <w:tr w:rsidR="001447B8" w:rsidRPr="00F41258" w:rsidDel="00261961" w14:paraId="0D19DCF7" w14:textId="77777777" w:rsidTr="00C8225B">
        <w:tc>
          <w:tcPr>
            <w:tcW w:w="9012" w:type="dxa"/>
            <w:gridSpan w:val="5"/>
            <w:tcBorders>
              <w:top w:val="single" w:sz="4" w:space="0" w:color="auto"/>
              <w:left w:val="single" w:sz="4" w:space="0" w:color="auto"/>
              <w:bottom w:val="single" w:sz="4" w:space="0" w:color="000000"/>
              <w:right w:val="single" w:sz="4" w:space="0" w:color="auto"/>
            </w:tcBorders>
            <w:shd w:val="clear" w:color="auto" w:fill="auto"/>
          </w:tcPr>
          <w:p w14:paraId="1D923577" w14:textId="7C90FBAE" w:rsidR="001447B8" w:rsidRPr="00F41258" w:rsidDel="00261961" w:rsidRDefault="001447B8" w:rsidP="001447B8">
            <w:pPr>
              <w:pBdr>
                <w:top w:val="none" w:sz="0" w:space="0" w:color="auto"/>
                <w:left w:val="none" w:sz="0" w:space="0" w:color="auto"/>
                <w:bottom w:val="none" w:sz="0" w:space="0" w:color="auto"/>
                <w:right w:val="none" w:sz="0" w:space="0" w:color="auto"/>
                <w:between w:val="none" w:sz="0" w:space="0" w:color="auto"/>
              </w:pBdr>
            </w:pPr>
            <w:r w:rsidRPr="00F41258">
              <w:t>Ab 1. Januar 2024 gelten folgende Werte.</w:t>
            </w:r>
          </w:p>
        </w:tc>
      </w:tr>
      <w:tr w:rsidR="001447B8" w:rsidRPr="00F41258" w14:paraId="5CFB1097" w14:textId="77777777" w:rsidTr="00C8225B">
        <w:tc>
          <w:tcPr>
            <w:tcW w:w="3048" w:type="dxa"/>
            <w:tcBorders>
              <w:left w:val="single" w:sz="4" w:space="0" w:color="auto"/>
              <w:bottom w:val="single" w:sz="4" w:space="0" w:color="000000"/>
            </w:tcBorders>
            <w:shd w:val="clear" w:color="auto" w:fill="auto"/>
          </w:tcPr>
          <w:p w14:paraId="0A8FF3DF" w14:textId="77777777" w:rsidR="001447B8" w:rsidRPr="00F41258" w:rsidRDefault="001447B8" w:rsidP="001447B8">
            <w:pPr>
              <w:pStyle w:val="Tabelleninhalt"/>
              <w:rPr>
                <w:rFonts w:ascii="Arial" w:hAnsi="Arial"/>
                <w:sz w:val="22"/>
                <w:szCs w:val="22"/>
              </w:rPr>
            </w:pPr>
          </w:p>
        </w:tc>
        <w:tc>
          <w:tcPr>
            <w:tcW w:w="3261" w:type="dxa"/>
            <w:gridSpan w:val="2"/>
            <w:tcBorders>
              <w:left w:val="single" w:sz="4" w:space="0" w:color="000000"/>
              <w:bottom w:val="single" w:sz="4" w:space="0" w:color="000000"/>
            </w:tcBorders>
            <w:shd w:val="clear" w:color="auto" w:fill="auto"/>
          </w:tcPr>
          <w:p w14:paraId="4F8B78F8" w14:textId="3C3A7EC5" w:rsidR="001447B8" w:rsidRPr="00F41258" w:rsidRDefault="001447B8" w:rsidP="001447B8">
            <w:pPr>
              <w:pStyle w:val="Tabelleninhalt"/>
              <w:rPr>
                <w:rFonts w:ascii="Arial" w:hAnsi="Arial"/>
                <w:sz w:val="22"/>
                <w:szCs w:val="22"/>
              </w:rPr>
            </w:pPr>
            <w:proofErr w:type="spellStart"/>
            <w:r w:rsidRPr="00F41258">
              <w:rPr>
                <w:rFonts w:ascii="Arial" w:hAnsi="Arial"/>
                <w:sz w:val="22"/>
                <w:szCs w:val="22"/>
              </w:rPr>
              <w:t>ƞ</w:t>
            </w:r>
            <w:r w:rsidRPr="00F41258">
              <w:rPr>
                <w:rFonts w:ascii="Arial" w:hAnsi="Arial"/>
                <w:sz w:val="22"/>
                <w:szCs w:val="22"/>
                <w:vertAlign w:val="subscript"/>
              </w:rPr>
              <w:t>s</w:t>
            </w:r>
            <w:proofErr w:type="spellEnd"/>
            <w:r w:rsidRPr="00F41258">
              <w:rPr>
                <w:rFonts w:ascii="Arial" w:hAnsi="Arial"/>
                <w:sz w:val="22"/>
                <w:szCs w:val="22"/>
              </w:rPr>
              <w:t xml:space="preserve"> bei (35°C)</w:t>
            </w:r>
          </w:p>
        </w:tc>
        <w:tc>
          <w:tcPr>
            <w:tcW w:w="2703" w:type="dxa"/>
            <w:gridSpan w:val="2"/>
            <w:tcBorders>
              <w:left w:val="single" w:sz="4" w:space="0" w:color="000000"/>
              <w:bottom w:val="single" w:sz="4" w:space="0" w:color="000000"/>
              <w:right w:val="single" w:sz="4" w:space="0" w:color="auto"/>
            </w:tcBorders>
            <w:shd w:val="clear" w:color="auto" w:fill="auto"/>
          </w:tcPr>
          <w:p w14:paraId="34AC9C75" w14:textId="2B1E209D" w:rsidR="001447B8" w:rsidRPr="00F41258" w:rsidRDefault="001447B8" w:rsidP="001447B8">
            <w:pPr>
              <w:pStyle w:val="Tabelleninhalt"/>
              <w:rPr>
                <w:rFonts w:ascii="Arial" w:hAnsi="Arial"/>
                <w:sz w:val="22"/>
                <w:szCs w:val="22"/>
              </w:rPr>
            </w:pPr>
            <w:proofErr w:type="spellStart"/>
            <w:r w:rsidRPr="00F41258">
              <w:rPr>
                <w:rFonts w:ascii="Arial" w:hAnsi="Arial"/>
                <w:sz w:val="22"/>
                <w:szCs w:val="22"/>
              </w:rPr>
              <w:t>ƞ</w:t>
            </w:r>
            <w:r w:rsidRPr="00F41258">
              <w:rPr>
                <w:rFonts w:ascii="Arial" w:hAnsi="Arial"/>
                <w:sz w:val="22"/>
                <w:szCs w:val="22"/>
                <w:vertAlign w:val="subscript"/>
              </w:rPr>
              <w:t>s</w:t>
            </w:r>
            <w:proofErr w:type="spellEnd"/>
            <w:r w:rsidRPr="00F41258">
              <w:rPr>
                <w:rFonts w:ascii="Arial" w:hAnsi="Arial"/>
                <w:sz w:val="22"/>
                <w:szCs w:val="22"/>
              </w:rPr>
              <w:t xml:space="preserve"> bei (55°C)</w:t>
            </w:r>
          </w:p>
        </w:tc>
      </w:tr>
      <w:tr w:rsidR="001447B8" w:rsidRPr="00F41258" w14:paraId="09E9A99D" w14:textId="77777777" w:rsidTr="00C8225B">
        <w:tc>
          <w:tcPr>
            <w:tcW w:w="3048" w:type="dxa"/>
            <w:tcBorders>
              <w:left w:val="single" w:sz="4" w:space="0" w:color="auto"/>
              <w:bottom w:val="single" w:sz="4" w:space="0" w:color="000000"/>
            </w:tcBorders>
            <w:shd w:val="clear" w:color="auto" w:fill="auto"/>
          </w:tcPr>
          <w:p w14:paraId="26B853C3" w14:textId="3DD5E0BB" w:rsidR="001447B8" w:rsidRPr="00F41258" w:rsidRDefault="001447B8" w:rsidP="001447B8">
            <w:pPr>
              <w:pStyle w:val="Tabelleninhalt"/>
              <w:rPr>
                <w:rFonts w:ascii="Arial" w:hAnsi="Arial"/>
                <w:sz w:val="22"/>
                <w:szCs w:val="22"/>
              </w:rPr>
            </w:pPr>
            <w:r w:rsidRPr="00F41258">
              <w:rPr>
                <w:rFonts w:ascii="Arial" w:hAnsi="Arial"/>
                <w:sz w:val="22"/>
                <w:szCs w:val="22"/>
              </w:rPr>
              <w:t>Wärmequelle Luft</w:t>
            </w:r>
          </w:p>
        </w:tc>
        <w:tc>
          <w:tcPr>
            <w:tcW w:w="3261" w:type="dxa"/>
            <w:gridSpan w:val="2"/>
            <w:tcBorders>
              <w:left w:val="single" w:sz="4" w:space="0" w:color="000000"/>
              <w:bottom w:val="single" w:sz="4" w:space="0" w:color="000000"/>
            </w:tcBorders>
            <w:shd w:val="clear" w:color="auto" w:fill="auto"/>
          </w:tcPr>
          <w:p w14:paraId="087230B1" w14:textId="511B3A87" w:rsidR="001447B8" w:rsidRPr="00F41258" w:rsidRDefault="001447B8" w:rsidP="001447B8">
            <w:pPr>
              <w:pStyle w:val="Tabelleninhalt"/>
              <w:rPr>
                <w:rFonts w:ascii="Arial" w:hAnsi="Arial"/>
                <w:sz w:val="22"/>
                <w:szCs w:val="22"/>
              </w:rPr>
            </w:pPr>
            <w:r w:rsidRPr="00F41258">
              <w:rPr>
                <w:rFonts w:ascii="Arial" w:hAnsi="Arial"/>
                <w:sz w:val="22"/>
                <w:szCs w:val="22"/>
              </w:rPr>
              <w:t>145 %</w:t>
            </w:r>
          </w:p>
        </w:tc>
        <w:tc>
          <w:tcPr>
            <w:tcW w:w="2703" w:type="dxa"/>
            <w:gridSpan w:val="2"/>
            <w:tcBorders>
              <w:left w:val="single" w:sz="4" w:space="0" w:color="000000"/>
              <w:bottom w:val="single" w:sz="4" w:space="0" w:color="000000"/>
              <w:right w:val="single" w:sz="4" w:space="0" w:color="auto"/>
            </w:tcBorders>
            <w:shd w:val="clear" w:color="auto" w:fill="auto"/>
          </w:tcPr>
          <w:p w14:paraId="1FC2A967" w14:textId="1CA129A8" w:rsidR="001447B8" w:rsidRPr="00F41258" w:rsidRDefault="001447B8" w:rsidP="001447B8">
            <w:pPr>
              <w:pStyle w:val="Tabelleninhalt"/>
              <w:rPr>
                <w:rFonts w:ascii="Arial" w:hAnsi="Arial"/>
                <w:sz w:val="22"/>
                <w:szCs w:val="22"/>
              </w:rPr>
            </w:pPr>
            <w:r w:rsidRPr="00F41258">
              <w:rPr>
                <w:rFonts w:ascii="Arial" w:hAnsi="Arial"/>
                <w:sz w:val="22"/>
                <w:szCs w:val="22"/>
              </w:rPr>
              <w:t>125 %</w:t>
            </w:r>
          </w:p>
        </w:tc>
      </w:tr>
      <w:tr w:rsidR="001447B8" w:rsidRPr="00F41258" w14:paraId="3B83F7B4" w14:textId="77777777" w:rsidTr="00C8225B">
        <w:tc>
          <w:tcPr>
            <w:tcW w:w="3048" w:type="dxa"/>
            <w:tcBorders>
              <w:left w:val="single" w:sz="4" w:space="0" w:color="auto"/>
              <w:bottom w:val="single" w:sz="4" w:space="0" w:color="000000"/>
            </w:tcBorders>
            <w:shd w:val="clear" w:color="auto" w:fill="auto"/>
          </w:tcPr>
          <w:p w14:paraId="641CB3AA" w14:textId="6DC7D8FC" w:rsidR="001447B8" w:rsidRPr="00F41258" w:rsidRDefault="001447B8" w:rsidP="001447B8">
            <w:pPr>
              <w:pStyle w:val="Tabelleninhalt"/>
              <w:rPr>
                <w:rFonts w:ascii="Arial" w:hAnsi="Arial"/>
                <w:sz w:val="22"/>
                <w:szCs w:val="22"/>
              </w:rPr>
            </w:pPr>
            <w:r w:rsidRPr="00F41258">
              <w:rPr>
                <w:rFonts w:ascii="Arial" w:hAnsi="Arial"/>
                <w:sz w:val="22"/>
                <w:szCs w:val="22"/>
              </w:rPr>
              <w:t>Wärmequelle Erdwärme</w:t>
            </w:r>
          </w:p>
        </w:tc>
        <w:tc>
          <w:tcPr>
            <w:tcW w:w="3261" w:type="dxa"/>
            <w:gridSpan w:val="2"/>
            <w:tcBorders>
              <w:left w:val="single" w:sz="4" w:space="0" w:color="000000"/>
              <w:bottom w:val="single" w:sz="4" w:space="0" w:color="000000"/>
            </w:tcBorders>
            <w:shd w:val="clear" w:color="auto" w:fill="auto"/>
          </w:tcPr>
          <w:p w14:paraId="3C257379" w14:textId="26DC3C47" w:rsidR="001447B8" w:rsidRPr="00F41258" w:rsidRDefault="001447B8" w:rsidP="001447B8">
            <w:pPr>
              <w:pStyle w:val="Tabelleninhalt"/>
              <w:rPr>
                <w:rFonts w:ascii="Arial" w:hAnsi="Arial"/>
                <w:sz w:val="22"/>
                <w:szCs w:val="22"/>
              </w:rPr>
            </w:pPr>
            <w:r w:rsidRPr="00F41258">
              <w:rPr>
                <w:rFonts w:ascii="Arial" w:hAnsi="Arial"/>
                <w:sz w:val="22"/>
                <w:szCs w:val="22"/>
              </w:rPr>
              <w:t>180 %</w:t>
            </w:r>
          </w:p>
        </w:tc>
        <w:tc>
          <w:tcPr>
            <w:tcW w:w="2703" w:type="dxa"/>
            <w:gridSpan w:val="2"/>
            <w:tcBorders>
              <w:left w:val="single" w:sz="4" w:space="0" w:color="000000"/>
              <w:bottom w:val="single" w:sz="4" w:space="0" w:color="000000"/>
              <w:right w:val="single" w:sz="4" w:space="0" w:color="auto"/>
            </w:tcBorders>
            <w:shd w:val="clear" w:color="auto" w:fill="auto"/>
          </w:tcPr>
          <w:p w14:paraId="03CBC652" w14:textId="6A0125AA" w:rsidR="001447B8" w:rsidRPr="00F41258" w:rsidRDefault="001447B8" w:rsidP="001447B8">
            <w:pPr>
              <w:pStyle w:val="Tabelleninhalt"/>
              <w:rPr>
                <w:rFonts w:ascii="Arial" w:hAnsi="Arial"/>
                <w:sz w:val="22"/>
                <w:szCs w:val="22"/>
              </w:rPr>
            </w:pPr>
            <w:r w:rsidRPr="00F41258">
              <w:rPr>
                <w:rFonts w:ascii="Arial" w:hAnsi="Arial"/>
                <w:sz w:val="22"/>
                <w:szCs w:val="22"/>
              </w:rPr>
              <w:t>140 %</w:t>
            </w:r>
          </w:p>
        </w:tc>
      </w:tr>
      <w:tr w:rsidR="001447B8" w:rsidRPr="00F41258" w14:paraId="017B6479" w14:textId="77777777" w:rsidTr="00C8225B">
        <w:tc>
          <w:tcPr>
            <w:tcW w:w="3048" w:type="dxa"/>
            <w:tcBorders>
              <w:left w:val="single" w:sz="4" w:space="0" w:color="auto"/>
              <w:bottom w:val="single" w:sz="4" w:space="0" w:color="000000"/>
            </w:tcBorders>
            <w:shd w:val="clear" w:color="auto" w:fill="auto"/>
          </w:tcPr>
          <w:p w14:paraId="50C28BE8" w14:textId="490EDB99" w:rsidR="001447B8" w:rsidRPr="00F41258" w:rsidRDefault="001447B8" w:rsidP="001447B8">
            <w:pPr>
              <w:pStyle w:val="Tabelleninhalt"/>
              <w:rPr>
                <w:rFonts w:ascii="Arial" w:hAnsi="Arial"/>
                <w:sz w:val="22"/>
                <w:szCs w:val="22"/>
              </w:rPr>
            </w:pPr>
            <w:r w:rsidRPr="00F41258">
              <w:rPr>
                <w:rFonts w:ascii="Arial" w:hAnsi="Arial"/>
                <w:sz w:val="22"/>
                <w:szCs w:val="22"/>
              </w:rPr>
              <w:t>Wärmequelle Wasser</w:t>
            </w:r>
          </w:p>
        </w:tc>
        <w:tc>
          <w:tcPr>
            <w:tcW w:w="3261" w:type="dxa"/>
            <w:gridSpan w:val="2"/>
            <w:tcBorders>
              <w:left w:val="single" w:sz="4" w:space="0" w:color="000000"/>
              <w:bottom w:val="single" w:sz="4" w:space="0" w:color="000000"/>
            </w:tcBorders>
            <w:shd w:val="clear" w:color="auto" w:fill="auto"/>
          </w:tcPr>
          <w:p w14:paraId="527E231D" w14:textId="5A0B6B8D" w:rsidR="001447B8" w:rsidRPr="00F41258" w:rsidRDefault="001447B8" w:rsidP="001447B8">
            <w:pPr>
              <w:pStyle w:val="Tabelleninhalt"/>
              <w:rPr>
                <w:rFonts w:ascii="Arial" w:hAnsi="Arial"/>
                <w:sz w:val="22"/>
                <w:szCs w:val="22"/>
              </w:rPr>
            </w:pPr>
            <w:r w:rsidRPr="00F41258">
              <w:rPr>
                <w:rFonts w:ascii="Arial" w:hAnsi="Arial"/>
                <w:sz w:val="22"/>
                <w:szCs w:val="22"/>
              </w:rPr>
              <w:t>180 %</w:t>
            </w:r>
          </w:p>
        </w:tc>
        <w:tc>
          <w:tcPr>
            <w:tcW w:w="2703" w:type="dxa"/>
            <w:gridSpan w:val="2"/>
            <w:tcBorders>
              <w:left w:val="single" w:sz="4" w:space="0" w:color="000000"/>
              <w:bottom w:val="single" w:sz="4" w:space="0" w:color="000000"/>
              <w:right w:val="single" w:sz="4" w:space="0" w:color="auto"/>
            </w:tcBorders>
            <w:shd w:val="clear" w:color="auto" w:fill="auto"/>
          </w:tcPr>
          <w:p w14:paraId="4C15F596" w14:textId="0329DA71" w:rsidR="001447B8" w:rsidRPr="00F41258" w:rsidRDefault="001447B8" w:rsidP="001447B8">
            <w:pPr>
              <w:pStyle w:val="Tabelleninhalt"/>
              <w:rPr>
                <w:rFonts w:ascii="Arial" w:hAnsi="Arial"/>
                <w:sz w:val="22"/>
                <w:szCs w:val="22"/>
              </w:rPr>
            </w:pPr>
            <w:r w:rsidRPr="00F41258">
              <w:rPr>
                <w:rFonts w:ascii="Arial" w:hAnsi="Arial"/>
                <w:sz w:val="22"/>
                <w:szCs w:val="22"/>
              </w:rPr>
              <w:t>140 %</w:t>
            </w:r>
          </w:p>
        </w:tc>
      </w:tr>
      <w:tr w:rsidR="001447B8" w:rsidRPr="00F41258" w14:paraId="494D48DA" w14:textId="77777777" w:rsidTr="00C8225B">
        <w:tc>
          <w:tcPr>
            <w:tcW w:w="3048" w:type="dxa"/>
            <w:tcBorders>
              <w:left w:val="single" w:sz="4" w:space="0" w:color="auto"/>
              <w:bottom w:val="single" w:sz="4" w:space="0" w:color="auto"/>
            </w:tcBorders>
            <w:shd w:val="clear" w:color="auto" w:fill="auto"/>
          </w:tcPr>
          <w:p w14:paraId="77ADC8D6" w14:textId="77777777" w:rsidR="001447B8" w:rsidRPr="00F41258" w:rsidRDefault="001447B8" w:rsidP="001447B8">
            <w:pPr>
              <w:pStyle w:val="Tabelleninhalt"/>
              <w:rPr>
                <w:rFonts w:ascii="Arial" w:hAnsi="Arial"/>
                <w:sz w:val="22"/>
                <w:szCs w:val="22"/>
              </w:rPr>
            </w:pPr>
            <w:r w:rsidRPr="00F41258">
              <w:rPr>
                <w:rFonts w:ascii="Arial" w:hAnsi="Arial"/>
                <w:sz w:val="22"/>
                <w:szCs w:val="22"/>
              </w:rPr>
              <w:t>Sonstige Wärmequellen</w:t>
            </w:r>
          </w:p>
          <w:p w14:paraId="64A4DB86" w14:textId="60FEA4E4" w:rsidR="001447B8" w:rsidRPr="00F41258" w:rsidRDefault="001447B8" w:rsidP="001447B8">
            <w:pPr>
              <w:pStyle w:val="Tabelleninhalt"/>
              <w:rPr>
                <w:rFonts w:ascii="Arial" w:hAnsi="Arial"/>
                <w:sz w:val="22"/>
                <w:szCs w:val="22"/>
              </w:rPr>
            </w:pPr>
            <w:r w:rsidRPr="00F41258">
              <w:rPr>
                <w:rFonts w:ascii="Arial" w:hAnsi="Arial"/>
                <w:sz w:val="22"/>
                <w:szCs w:val="22"/>
              </w:rPr>
              <w:t>(z.B. Abwärme, Solarwärme)</w:t>
            </w:r>
          </w:p>
        </w:tc>
        <w:tc>
          <w:tcPr>
            <w:tcW w:w="3261" w:type="dxa"/>
            <w:gridSpan w:val="2"/>
            <w:tcBorders>
              <w:left w:val="single" w:sz="4" w:space="0" w:color="000000"/>
              <w:bottom w:val="single" w:sz="4" w:space="0" w:color="auto"/>
            </w:tcBorders>
            <w:shd w:val="clear" w:color="auto" w:fill="auto"/>
          </w:tcPr>
          <w:p w14:paraId="2386A2D6" w14:textId="2408A602" w:rsidR="001447B8" w:rsidRPr="00F41258" w:rsidRDefault="001447B8" w:rsidP="001447B8">
            <w:pPr>
              <w:pStyle w:val="Tabelleninhalt"/>
              <w:rPr>
                <w:rFonts w:ascii="Arial" w:hAnsi="Arial"/>
                <w:sz w:val="22"/>
                <w:szCs w:val="22"/>
              </w:rPr>
            </w:pPr>
            <w:r w:rsidRPr="00F41258">
              <w:rPr>
                <w:rFonts w:ascii="Arial" w:hAnsi="Arial"/>
                <w:sz w:val="22"/>
                <w:szCs w:val="22"/>
              </w:rPr>
              <w:t>180 %</w:t>
            </w:r>
          </w:p>
        </w:tc>
        <w:tc>
          <w:tcPr>
            <w:tcW w:w="2703" w:type="dxa"/>
            <w:gridSpan w:val="2"/>
            <w:tcBorders>
              <w:left w:val="single" w:sz="4" w:space="0" w:color="000000"/>
              <w:bottom w:val="single" w:sz="4" w:space="0" w:color="auto"/>
              <w:right w:val="single" w:sz="4" w:space="0" w:color="auto"/>
            </w:tcBorders>
            <w:shd w:val="clear" w:color="auto" w:fill="auto"/>
          </w:tcPr>
          <w:p w14:paraId="7F21A895" w14:textId="64D54AAC" w:rsidR="001447B8" w:rsidRPr="00F41258" w:rsidRDefault="001447B8" w:rsidP="001447B8">
            <w:pPr>
              <w:pStyle w:val="Tabelleninhalt"/>
              <w:rPr>
                <w:rFonts w:ascii="Arial" w:hAnsi="Arial"/>
                <w:sz w:val="22"/>
                <w:szCs w:val="22"/>
              </w:rPr>
            </w:pPr>
            <w:r w:rsidRPr="00F41258">
              <w:rPr>
                <w:rFonts w:ascii="Arial" w:hAnsi="Arial"/>
                <w:sz w:val="22"/>
                <w:szCs w:val="22"/>
              </w:rPr>
              <w:t>140 %</w:t>
            </w:r>
          </w:p>
        </w:tc>
      </w:tr>
    </w:tbl>
    <w:p w14:paraId="6703ED26" w14:textId="77777777" w:rsidR="00232CB1" w:rsidRPr="00F41258" w:rsidRDefault="00232CB1" w:rsidP="00583FF0"/>
    <w:tbl>
      <w:tblPr>
        <w:tblW w:w="9012" w:type="dxa"/>
        <w:tblInd w:w="55" w:type="dxa"/>
        <w:tblLayout w:type="fixed"/>
        <w:tblCellMar>
          <w:top w:w="55" w:type="dxa"/>
          <w:left w:w="55" w:type="dxa"/>
          <w:bottom w:w="55" w:type="dxa"/>
          <w:right w:w="55" w:type="dxa"/>
        </w:tblCellMar>
        <w:tblLook w:val="0000" w:firstRow="0" w:lastRow="0" w:firstColumn="0" w:lastColumn="0" w:noHBand="0" w:noVBand="0"/>
      </w:tblPr>
      <w:tblGrid>
        <w:gridCol w:w="3049"/>
        <w:gridCol w:w="5963"/>
      </w:tblGrid>
      <w:tr w:rsidR="00232CB1" w:rsidRPr="00F41258" w14:paraId="521B3FDB" w14:textId="77777777" w:rsidTr="00C8225B">
        <w:tc>
          <w:tcPr>
            <w:tcW w:w="9012" w:type="dxa"/>
            <w:gridSpan w:val="2"/>
            <w:tcBorders>
              <w:top w:val="single" w:sz="4" w:space="0" w:color="auto"/>
              <w:left w:val="single" w:sz="4" w:space="0" w:color="auto"/>
              <w:bottom w:val="single" w:sz="4" w:space="0" w:color="auto"/>
              <w:right w:val="single" w:sz="4" w:space="0" w:color="auto"/>
            </w:tcBorders>
            <w:shd w:val="clear" w:color="auto" w:fill="auto"/>
          </w:tcPr>
          <w:p w14:paraId="292D6C45" w14:textId="611440FD" w:rsidR="00261961" w:rsidRPr="00F41258" w:rsidRDefault="00232CB1" w:rsidP="00583FF0">
            <w:r w:rsidRPr="00F41258">
              <w:t>Wärmepumpen – Beheizung über Luft</w:t>
            </w:r>
          </w:p>
          <w:p w14:paraId="1CADC996" w14:textId="610E10A3" w:rsidR="00232CB1" w:rsidRPr="00F41258" w:rsidRDefault="00232CB1" w:rsidP="00583FF0">
            <w:r w:rsidRPr="00F41258">
              <w:t xml:space="preserve">Die „jahreszeitbedingte Raumheizungs-Energieeffizienz“ </w:t>
            </w:r>
            <w:proofErr w:type="spellStart"/>
            <w:r w:rsidRPr="00F41258">
              <w:t>ƞ</w:t>
            </w:r>
            <w:r w:rsidRPr="00F41258">
              <w:rPr>
                <w:vertAlign w:val="subscript"/>
              </w:rPr>
              <w:t>s</w:t>
            </w:r>
            <w:proofErr w:type="spellEnd"/>
            <w:r w:rsidRPr="00F41258">
              <w:t xml:space="preserve"> (= ETAs) bzw. der „Raumheizungs-Jahresnutzungsgrad“ </w:t>
            </w:r>
            <w:proofErr w:type="spellStart"/>
            <w:proofErr w:type="gramStart"/>
            <w:r w:rsidRPr="00F41258">
              <w:t>ƞ</w:t>
            </w:r>
            <w:r w:rsidRPr="00F41258">
              <w:rPr>
                <w:vertAlign w:val="subscript"/>
              </w:rPr>
              <w:t>s,h</w:t>
            </w:r>
            <w:proofErr w:type="spellEnd"/>
            <w:proofErr w:type="gramEnd"/>
            <w:r w:rsidRPr="00F41258">
              <w:t xml:space="preserve"> (= </w:t>
            </w:r>
            <w:proofErr w:type="spellStart"/>
            <w:r w:rsidRPr="00F41258">
              <w:t>ETAs,h</w:t>
            </w:r>
            <w:proofErr w:type="spellEnd"/>
            <w:r w:rsidRPr="00F41258">
              <w:t>) gemäß Öko-Design-Richtlinie förderfähiger Wärmepumpen muss bei durchschnittlichen Klimaverhältnissen mindestens folgende Werte erreichen:</w:t>
            </w:r>
          </w:p>
        </w:tc>
      </w:tr>
      <w:tr w:rsidR="00232CB1" w:rsidRPr="00F41258" w14:paraId="0983A267" w14:textId="77777777" w:rsidTr="00C8225B">
        <w:trPr>
          <w:trHeight w:val="444"/>
        </w:trPr>
        <w:tc>
          <w:tcPr>
            <w:tcW w:w="3049" w:type="dxa"/>
            <w:tcBorders>
              <w:left w:val="single" w:sz="4" w:space="0" w:color="auto"/>
              <w:bottom w:val="single" w:sz="4" w:space="0" w:color="000000"/>
              <w:right w:val="single" w:sz="4" w:space="0" w:color="auto"/>
            </w:tcBorders>
            <w:shd w:val="clear" w:color="auto" w:fill="auto"/>
          </w:tcPr>
          <w:p w14:paraId="0A34DD66" w14:textId="77777777" w:rsidR="00232CB1" w:rsidRPr="00F41258" w:rsidRDefault="00232CB1" w:rsidP="00583FF0">
            <w:r w:rsidRPr="00F41258">
              <w:t>Wärmepumpen ≤ 12 kW* (Wärmequelle Luft)</w:t>
            </w:r>
          </w:p>
        </w:tc>
        <w:tc>
          <w:tcPr>
            <w:tcW w:w="5963" w:type="dxa"/>
            <w:tcBorders>
              <w:left w:val="single" w:sz="4" w:space="0" w:color="auto"/>
              <w:bottom w:val="single" w:sz="4" w:space="0" w:color="000000"/>
              <w:right w:val="single" w:sz="4" w:space="0" w:color="auto"/>
            </w:tcBorders>
            <w:shd w:val="clear" w:color="auto" w:fill="auto"/>
          </w:tcPr>
          <w:p w14:paraId="5E64BE18" w14:textId="77777777" w:rsidR="004A3081" w:rsidRPr="00F41258" w:rsidRDefault="00232CB1" w:rsidP="00583FF0">
            <w:proofErr w:type="spellStart"/>
            <w:r w:rsidRPr="00F41258">
              <w:t>ƞ</w:t>
            </w:r>
            <w:r w:rsidRPr="00F41258">
              <w:rPr>
                <w:vertAlign w:val="subscript"/>
              </w:rPr>
              <w:t>s</w:t>
            </w:r>
            <w:proofErr w:type="spellEnd"/>
            <w:r w:rsidRPr="00F41258">
              <w:t xml:space="preserve"> </w:t>
            </w:r>
            <w:r w:rsidRPr="00F41258">
              <w:rPr>
                <w:rFonts w:eastAsia="Ubuntu"/>
              </w:rPr>
              <w:t>≥</w:t>
            </w:r>
            <w:r w:rsidRPr="00F41258">
              <w:t xml:space="preserve"> 181 %</w:t>
            </w:r>
          </w:p>
          <w:p w14:paraId="291E4682" w14:textId="6CC1A38D" w:rsidR="00232CB1" w:rsidRPr="00F41258" w:rsidRDefault="00232CB1" w:rsidP="00583FF0">
            <w:r w:rsidRPr="00F41258">
              <w:t>Effizienzklasse A++ oder A+++</w:t>
            </w:r>
          </w:p>
        </w:tc>
      </w:tr>
      <w:tr w:rsidR="00232CB1" w:rsidRPr="00F41258" w14:paraId="6B2FBA86" w14:textId="77777777" w:rsidTr="00C8225B">
        <w:tc>
          <w:tcPr>
            <w:tcW w:w="3049" w:type="dxa"/>
            <w:tcBorders>
              <w:left w:val="single" w:sz="4" w:space="0" w:color="auto"/>
              <w:bottom w:val="single" w:sz="4" w:space="0" w:color="auto"/>
            </w:tcBorders>
            <w:shd w:val="clear" w:color="auto" w:fill="auto"/>
          </w:tcPr>
          <w:p w14:paraId="19F9ED3D" w14:textId="77777777" w:rsidR="00232CB1" w:rsidRPr="00F41258" w:rsidRDefault="00232CB1" w:rsidP="00583FF0">
            <w:pPr>
              <w:pStyle w:val="Tabelleninhalt"/>
              <w:rPr>
                <w:rFonts w:ascii="Arial" w:hAnsi="Arial"/>
                <w:sz w:val="22"/>
                <w:szCs w:val="22"/>
              </w:rPr>
            </w:pPr>
            <w:r w:rsidRPr="00F41258">
              <w:rPr>
                <w:rFonts w:ascii="Arial" w:hAnsi="Arial"/>
                <w:sz w:val="22"/>
                <w:szCs w:val="22"/>
              </w:rPr>
              <w:t xml:space="preserve">Wärmepumpen &gt; 12 kW* (alle Wärmequellen) </w:t>
            </w:r>
          </w:p>
        </w:tc>
        <w:tc>
          <w:tcPr>
            <w:tcW w:w="5963" w:type="dxa"/>
            <w:tcBorders>
              <w:left w:val="single" w:sz="4" w:space="0" w:color="000000"/>
              <w:bottom w:val="single" w:sz="4" w:space="0" w:color="auto"/>
              <w:right w:val="single" w:sz="4" w:space="0" w:color="auto"/>
            </w:tcBorders>
            <w:shd w:val="clear" w:color="auto" w:fill="auto"/>
          </w:tcPr>
          <w:p w14:paraId="240EE9E5" w14:textId="77777777" w:rsidR="00232CB1" w:rsidRPr="00F41258" w:rsidRDefault="00232CB1" w:rsidP="00583FF0">
            <w:pPr>
              <w:pStyle w:val="Tabelleninhalt"/>
              <w:rPr>
                <w:rFonts w:ascii="Arial" w:hAnsi="Arial"/>
                <w:sz w:val="22"/>
                <w:szCs w:val="22"/>
              </w:rPr>
            </w:pPr>
            <w:proofErr w:type="spellStart"/>
            <w:proofErr w:type="gramStart"/>
            <w:r w:rsidRPr="00F41258">
              <w:rPr>
                <w:rFonts w:ascii="Arial" w:hAnsi="Arial"/>
                <w:sz w:val="22"/>
                <w:szCs w:val="22"/>
              </w:rPr>
              <w:t>ƞ</w:t>
            </w:r>
            <w:r w:rsidRPr="00F41258">
              <w:rPr>
                <w:rFonts w:ascii="Arial" w:hAnsi="Arial"/>
                <w:sz w:val="22"/>
                <w:szCs w:val="22"/>
                <w:vertAlign w:val="subscript"/>
              </w:rPr>
              <w:t>s,h</w:t>
            </w:r>
            <w:proofErr w:type="spellEnd"/>
            <w:proofErr w:type="gramEnd"/>
            <w:r w:rsidRPr="00F41258">
              <w:rPr>
                <w:rFonts w:ascii="Arial" w:hAnsi="Arial"/>
                <w:sz w:val="22"/>
                <w:szCs w:val="22"/>
                <w:vertAlign w:val="subscript"/>
              </w:rPr>
              <w:t xml:space="preserve"> </w:t>
            </w:r>
            <w:r w:rsidRPr="00F41258">
              <w:rPr>
                <w:rFonts w:ascii="Arial" w:eastAsia="Ubuntu" w:hAnsi="Arial"/>
                <w:sz w:val="22"/>
                <w:szCs w:val="22"/>
              </w:rPr>
              <w:t xml:space="preserve">≥ </w:t>
            </w:r>
            <w:r w:rsidRPr="00F41258">
              <w:rPr>
                <w:rFonts w:ascii="Arial" w:hAnsi="Arial"/>
                <w:sz w:val="22"/>
                <w:szCs w:val="22"/>
              </w:rPr>
              <w:t>150 %</w:t>
            </w:r>
          </w:p>
        </w:tc>
      </w:tr>
    </w:tbl>
    <w:p w14:paraId="211399B2" w14:textId="77777777" w:rsidR="00232CB1" w:rsidRPr="00F41258" w:rsidRDefault="00232CB1" w:rsidP="00583FF0">
      <w:r w:rsidRPr="00F41258">
        <w:t>* Heizleistung, bei Geräten mit Kühlfunktion Kühlleistung (siehe EU 206/2012).</w:t>
      </w:r>
    </w:p>
    <w:p w14:paraId="07FC149D" w14:textId="77777777" w:rsidR="00232CB1" w:rsidRPr="00F41258" w:rsidRDefault="00232CB1" w:rsidP="00583FF0"/>
    <w:p w14:paraId="6CAF816E" w14:textId="51B7814D" w:rsidR="00232CB1" w:rsidRPr="00F41258" w:rsidRDefault="00232CB1" w:rsidP="00EB6174">
      <w:pPr>
        <w:pStyle w:val="berschrift3"/>
      </w:pPr>
      <w:bookmarkStart w:id="228" w:name="_Netzdienlichkeit"/>
      <w:bookmarkStart w:id="229" w:name="_Toc144908078"/>
      <w:bookmarkEnd w:id="228"/>
      <w:r w:rsidRPr="00F41258">
        <w:t>Netzdienlichkeit</w:t>
      </w:r>
      <w:bookmarkEnd w:id="229"/>
    </w:p>
    <w:p w14:paraId="18E6666C" w14:textId="7CE7314C" w:rsidR="007E1A98" w:rsidRPr="00F41258" w:rsidRDefault="00232CB1" w:rsidP="008558E8">
      <w:pPr>
        <w:rPr>
          <w:rFonts w:ascii="Calibri" w:eastAsiaTheme="minorEastAsia" w:hAnsi="Calibri" w:cs="Calibri"/>
          <w:spacing w:val="0"/>
        </w:rPr>
      </w:pPr>
      <w:r w:rsidRPr="00F41258">
        <w:t>Förderfähige Wärmepumpen müssen über Schnittstellen verfügen, über die sie automatisiert netzdienlich aktiviert und betrieben werden können (z. B. anhand der Standards „SG Ready“ oder „VHP Ready“).</w:t>
      </w:r>
      <w:r w:rsidR="00B871ED" w:rsidRPr="00F41258">
        <w:t xml:space="preserve"> </w:t>
      </w:r>
      <w:r w:rsidR="000F67B8" w:rsidRPr="00F41258">
        <w:t>Es wird empfohlen, dass Wärmepumpen an ein zertifiziertes Smart-Meter-Gateway angeschlossen werden können, damit energiewirtschaftlich relevante Mess- und Steuerungsvorgänge über ein Smart-Meter-Gateway entsprechend den Anforderungen des Energiewirtschaftsgesetzes und des Messstellenbetriebsgesetzes abgewickelt werden können. Ab dem 1. Januar 2025 werden nur noch Wärmepumpen gefördert, die diese Anforderung erfüllen.</w:t>
      </w:r>
    </w:p>
    <w:p w14:paraId="436DB2D7" w14:textId="4DD3E155" w:rsidR="00ED032F" w:rsidRPr="00F41258" w:rsidRDefault="00ED032F" w:rsidP="00EB6174">
      <w:pPr>
        <w:pStyle w:val="berschrift3"/>
      </w:pPr>
      <w:bookmarkStart w:id="230" w:name="_Toc144908079"/>
      <w:r w:rsidRPr="00F41258">
        <w:t>Kältemittel</w:t>
      </w:r>
      <w:bookmarkEnd w:id="230"/>
    </w:p>
    <w:p w14:paraId="4EFEF5B4" w14:textId="67704201" w:rsidR="00ED032F" w:rsidRPr="00F41258" w:rsidRDefault="00ED032F" w:rsidP="00ED032F">
      <w:r w:rsidRPr="00F41258">
        <w:t xml:space="preserve">Empfohlen wird die Installation von Wärmepumpen mit natürlichen Kältemitteln. Ab 1. </w:t>
      </w:r>
      <w:r w:rsidR="00182048" w:rsidRPr="00F41258">
        <w:t xml:space="preserve">Januar </w:t>
      </w:r>
      <w:r w:rsidRPr="00F41258">
        <w:t>20</w:t>
      </w:r>
      <w:r w:rsidR="00461A55" w:rsidRPr="00F41258">
        <w:t>28</w:t>
      </w:r>
      <w:r w:rsidRPr="00F41258">
        <w:t xml:space="preserve"> werden nur noch Wärmepumpen mit natürlichen Kältemitteln gefördert.</w:t>
      </w:r>
    </w:p>
    <w:p w14:paraId="78E7EEFC" w14:textId="5C84144C" w:rsidR="00ED032F" w:rsidRPr="00F41258" w:rsidRDefault="00ED032F" w:rsidP="00583FF0">
      <w:r w:rsidRPr="00F41258">
        <w:t xml:space="preserve">Als natürliche Kältemittel werden </w:t>
      </w:r>
      <w:r w:rsidR="00754BC8" w:rsidRPr="00F41258">
        <w:t>beispielsweise</w:t>
      </w:r>
      <w:r w:rsidRPr="00F41258">
        <w:t xml:space="preserve"> </w:t>
      </w:r>
      <w:r w:rsidRPr="00F41258">
        <w:t>anerkannt:</w:t>
      </w:r>
    </w:p>
    <w:p w14:paraId="72A79AED" w14:textId="77777777" w:rsidR="00ED032F" w:rsidRPr="00F41258" w:rsidRDefault="00ED032F" w:rsidP="009B6F99">
      <w:pPr>
        <w:pStyle w:val="NurText"/>
        <w:numPr>
          <w:ilvl w:val="0"/>
          <w:numId w:val="32"/>
        </w:numPr>
        <w:spacing w:line="276" w:lineRule="auto"/>
        <w:rPr>
          <w:rFonts w:ascii="Arial" w:hAnsi="Arial" w:cs="Arial"/>
          <w:lang w:eastAsia="en-US"/>
        </w:rPr>
      </w:pPr>
      <w:r w:rsidRPr="00F41258">
        <w:rPr>
          <w:rFonts w:ascii="Arial" w:hAnsi="Arial" w:cs="Arial"/>
          <w:lang w:eastAsia="en-US"/>
        </w:rPr>
        <w:t xml:space="preserve">R290 Propan </w:t>
      </w:r>
    </w:p>
    <w:p w14:paraId="22EF7D7F" w14:textId="77777777" w:rsidR="00ED032F" w:rsidRPr="00F41258" w:rsidRDefault="00ED032F" w:rsidP="009B6F99">
      <w:pPr>
        <w:pStyle w:val="NurText"/>
        <w:numPr>
          <w:ilvl w:val="0"/>
          <w:numId w:val="32"/>
        </w:numPr>
        <w:spacing w:line="276" w:lineRule="auto"/>
        <w:rPr>
          <w:rFonts w:ascii="Arial" w:hAnsi="Arial" w:cs="Arial"/>
          <w:lang w:eastAsia="en-US"/>
        </w:rPr>
      </w:pPr>
      <w:r w:rsidRPr="00F41258">
        <w:rPr>
          <w:rFonts w:ascii="Arial" w:hAnsi="Arial" w:cs="Arial"/>
          <w:lang w:eastAsia="en-US"/>
        </w:rPr>
        <w:t xml:space="preserve">R600a Isobutan </w:t>
      </w:r>
    </w:p>
    <w:p w14:paraId="58AE2D4E" w14:textId="77777777" w:rsidR="00ED032F" w:rsidRPr="00F41258" w:rsidRDefault="00ED032F" w:rsidP="009B6F99">
      <w:pPr>
        <w:pStyle w:val="NurText"/>
        <w:numPr>
          <w:ilvl w:val="0"/>
          <w:numId w:val="32"/>
        </w:numPr>
        <w:spacing w:line="276" w:lineRule="auto"/>
        <w:rPr>
          <w:rFonts w:ascii="Arial" w:hAnsi="Arial" w:cs="Arial"/>
          <w:lang w:eastAsia="en-US"/>
        </w:rPr>
      </w:pPr>
      <w:r w:rsidRPr="00F41258">
        <w:rPr>
          <w:rFonts w:ascii="Arial" w:hAnsi="Arial" w:cs="Arial"/>
          <w:lang w:eastAsia="en-US"/>
        </w:rPr>
        <w:t xml:space="preserve">R1270 Propen </w:t>
      </w:r>
    </w:p>
    <w:p w14:paraId="2D0CDDB5" w14:textId="77777777" w:rsidR="00ED032F" w:rsidRPr="00F41258" w:rsidRDefault="00ED032F" w:rsidP="009B6F99">
      <w:pPr>
        <w:pStyle w:val="NurText"/>
        <w:numPr>
          <w:ilvl w:val="0"/>
          <w:numId w:val="32"/>
        </w:numPr>
        <w:spacing w:line="276" w:lineRule="auto"/>
        <w:rPr>
          <w:rFonts w:ascii="Arial" w:hAnsi="Arial" w:cs="Arial"/>
          <w:lang w:eastAsia="en-US"/>
        </w:rPr>
      </w:pPr>
      <w:r w:rsidRPr="00F41258">
        <w:rPr>
          <w:rFonts w:ascii="Arial" w:hAnsi="Arial" w:cs="Arial"/>
          <w:lang w:eastAsia="en-US"/>
        </w:rPr>
        <w:t xml:space="preserve">R717 Ammoniak </w:t>
      </w:r>
    </w:p>
    <w:p w14:paraId="61A23075" w14:textId="77777777" w:rsidR="00ED032F" w:rsidRPr="00F41258" w:rsidRDefault="00ED032F" w:rsidP="009B6F99">
      <w:pPr>
        <w:pStyle w:val="NurText"/>
        <w:numPr>
          <w:ilvl w:val="0"/>
          <w:numId w:val="32"/>
        </w:numPr>
        <w:spacing w:line="276" w:lineRule="auto"/>
        <w:rPr>
          <w:rFonts w:ascii="Arial" w:hAnsi="Arial" w:cs="Arial"/>
          <w:lang w:eastAsia="en-US"/>
        </w:rPr>
      </w:pPr>
      <w:r w:rsidRPr="00F41258">
        <w:rPr>
          <w:rFonts w:ascii="Arial" w:hAnsi="Arial" w:cs="Arial"/>
          <w:lang w:eastAsia="en-US"/>
        </w:rPr>
        <w:t xml:space="preserve">R718 Wasser </w:t>
      </w:r>
    </w:p>
    <w:p w14:paraId="520B83D8" w14:textId="7E0661C7" w:rsidR="00ED032F" w:rsidRPr="00F41258" w:rsidRDefault="00ED032F" w:rsidP="009B6F99">
      <w:pPr>
        <w:pStyle w:val="NurText"/>
        <w:numPr>
          <w:ilvl w:val="0"/>
          <w:numId w:val="32"/>
        </w:numPr>
        <w:spacing w:line="276" w:lineRule="auto"/>
        <w:rPr>
          <w:rFonts w:ascii="Arial" w:hAnsi="Arial" w:cs="Arial"/>
        </w:rPr>
      </w:pPr>
      <w:r w:rsidRPr="00F41258">
        <w:rPr>
          <w:rFonts w:ascii="Arial" w:hAnsi="Arial" w:cs="Arial"/>
          <w:lang w:eastAsia="en-US"/>
        </w:rPr>
        <w:lastRenderedPageBreak/>
        <w:t xml:space="preserve">R744 Kohlendioxid. </w:t>
      </w:r>
    </w:p>
    <w:p w14:paraId="40F57FDA" w14:textId="44913D8E" w:rsidR="000633F3" w:rsidRPr="00F41258" w:rsidRDefault="00DF26EB" w:rsidP="00EB6174">
      <w:pPr>
        <w:pStyle w:val="berschrift3"/>
      </w:pPr>
      <w:bookmarkStart w:id="231" w:name="_Toc144908080"/>
      <w:r w:rsidRPr="00F41258">
        <w:t>Geräuschemissionen</w:t>
      </w:r>
      <w:bookmarkEnd w:id="231"/>
    </w:p>
    <w:p w14:paraId="1B398636" w14:textId="0E8EDDD7" w:rsidR="00DF26EB" w:rsidRPr="00F41258" w:rsidRDefault="00DF26EB" w:rsidP="00DF26EB">
      <w:pPr>
        <w:pBdr>
          <w:top w:val="none" w:sz="0" w:space="0" w:color="auto"/>
          <w:left w:val="none" w:sz="0" w:space="0" w:color="auto"/>
          <w:bottom w:val="none" w:sz="0" w:space="0" w:color="auto"/>
          <w:right w:val="none" w:sz="0" w:space="0" w:color="auto"/>
          <w:between w:val="none" w:sz="0" w:space="0" w:color="auto"/>
        </w:pBdr>
        <w:spacing w:before="120" w:after="120"/>
        <w:rPr>
          <w:spacing w:val="0"/>
        </w:rPr>
      </w:pPr>
      <w:r w:rsidRPr="00F41258">
        <w:t>Luft-Wasser-</w:t>
      </w:r>
      <w:r w:rsidR="00900FF9" w:rsidRPr="00F41258">
        <w:t xml:space="preserve">Wärmepumpen </w:t>
      </w:r>
      <w:r w:rsidR="003A3227" w:rsidRPr="00F41258">
        <w:t>werden</w:t>
      </w:r>
      <w:r w:rsidRPr="00F41258">
        <w:t xml:space="preserve"> nur dann gefördert, wenn die Geräuschemissionen des Außengeräts zumindest 5 dB niedriger liegen als die Geräuschemissionsgrenzwerte für Wärmepumpen in der Europäischen Durchführungsverordnung Nr. 813/2013 (Ökodesign-Verordnung) in der Fassung vom 2. August 2013.</w:t>
      </w:r>
    </w:p>
    <w:p w14:paraId="07513803" w14:textId="19E14AEA" w:rsidR="00DF26EB" w:rsidRPr="00F41258" w:rsidRDefault="00DF26EB" w:rsidP="00CB1C5A">
      <w:pPr>
        <w:pBdr>
          <w:top w:val="none" w:sz="0" w:space="0" w:color="auto"/>
          <w:left w:val="none" w:sz="0" w:space="0" w:color="auto"/>
          <w:bottom w:val="none" w:sz="0" w:space="0" w:color="auto"/>
          <w:right w:val="none" w:sz="0" w:space="0" w:color="auto"/>
          <w:between w:val="none" w:sz="0" w:space="0" w:color="auto"/>
        </w:pBdr>
        <w:spacing w:before="120" w:after="60"/>
      </w:pPr>
      <w:r w:rsidRPr="00F41258">
        <w:t xml:space="preserve">Ab </w:t>
      </w:r>
      <w:r w:rsidR="00CE4AA3" w:rsidRPr="00F41258">
        <w:t xml:space="preserve">1. Januar </w:t>
      </w:r>
      <w:r w:rsidRPr="00F41258">
        <w:t>2026 werden Luft-Wasser-</w:t>
      </w:r>
      <w:r w:rsidR="00900FF9" w:rsidRPr="00F41258">
        <w:t>Wärmepumpen</w:t>
      </w:r>
      <w:r w:rsidRPr="00F41258">
        <w:t xml:space="preserve"> nur dann gefördert, wenn die Geräuschemissionen des Außengeräts zumindest 10 dB niedriger liegen als die Geräuschemissionsgrenzwerte für Wärmepumpen in der Europäischen Durchführungsverordnung Nr. 813/2013 (Ökodesign-Verordnung) in der Fassung vom 2. August 2013.</w:t>
      </w:r>
    </w:p>
    <w:p w14:paraId="7B7CBA89" w14:textId="6D5B4FAE" w:rsidR="00232CB1" w:rsidRPr="00F41258" w:rsidRDefault="00232CB1" w:rsidP="00EB6174">
      <w:pPr>
        <w:pStyle w:val="berschrift3"/>
      </w:pPr>
      <w:bookmarkStart w:id="232" w:name="_Toc144908081"/>
      <w:r w:rsidRPr="00F41258">
        <w:t>Qualitätssicherung</w:t>
      </w:r>
      <w:bookmarkEnd w:id="232"/>
    </w:p>
    <w:p w14:paraId="2B3724A6" w14:textId="7A8673AC" w:rsidR="00590E4E" w:rsidRPr="00F41258" w:rsidRDefault="00590E4E" w:rsidP="00590E4E">
      <w:r w:rsidRPr="00F41258">
        <w:t>Wärmepumpen sind so auszulegen, dass mindestens eine Jahresarbeitszahl von</w:t>
      </w:r>
      <w:r w:rsidR="006E2B4E" w:rsidRPr="00F41258">
        <w:t xml:space="preserve"> </w:t>
      </w:r>
      <w:r w:rsidR="00D10897" w:rsidRPr="00F41258">
        <w:t>2,7</w:t>
      </w:r>
      <w:r w:rsidRPr="00F41258">
        <w:t xml:space="preserve"> erreicht wird.</w:t>
      </w:r>
      <w:r w:rsidR="00F97655" w:rsidRPr="00F41258">
        <w:t xml:space="preserve"> Ab 1. Januar 2024 beträgt die Jahresarbeitszahl mindestens 3,0.</w:t>
      </w:r>
    </w:p>
    <w:p w14:paraId="7B0D23EF" w14:textId="77777777" w:rsidR="00232CB1" w:rsidRPr="00F41258" w:rsidRDefault="00232CB1" w:rsidP="00583FF0">
      <w:r w:rsidRPr="00F41258">
        <w:t xml:space="preserve">Für Sole/Wasser-Wärmepumpen mit neuen </w:t>
      </w:r>
      <w:proofErr w:type="spellStart"/>
      <w:r w:rsidRPr="00F41258">
        <w:t>Erdwärmesondenbohrungen</w:t>
      </w:r>
      <w:proofErr w:type="spellEnd"/>
      <w:r w:rsidRPr="00F41258">
        <w:t>:</w:t>
      </w:r>
    </w:p>
    <w:p w14:paraId="422885EE" w14:textId="6D3B1F25" w:rsidR="00232CB1" w:rsidRPr="00F41258" w:rsidRDefault="00232CB1" w:rsidP="009B6F99">
      <w:pPr>
        <w:pStyle w:val="Listenabsatz"/>
        <w:numPr>
          <w:ilvl w:val="0"/>
          <w:numId w:val="19"/>
        </w:numPr>
      </w:pPr>
      <w:r w:rsidRPr="00F41258">
        <w:t>Bohrfirmen müssen nach der technischen Regel DVGW W120-2 zertifiziert sein</w:t>
      </w:r>
    </w:p>
    <w:p w14:paraId="27A6C9EA" w14:textId="155E5246" w:rsidR="00232CB1" w:rsidRPr="00F41258" w:rsidRDefault="00232CB1" w:rsidP="009B6F99">
      <w:pPr>
        <w:pStyle w:val="Listenabsatz"/>
        <w:numPr>
          <w:ilvl w:val="0"/>
          <w:numId w:val="19"/>
        </w:numPr>
      </w:pPr>
      <w:r w:rsidRPr="00F41258">
        <w:t>Bohrungen müssen über eine verschuldensunabhängige Versicherung abgesichert sein</w:t>
      </w:r>
    </w:p>
    <w:p w14:paraId="449CD04D" w14:textId="3FEC6836" w:rsidR="00232CB1" w:rsidRPr="00F41258" w:rsidRDefault="00232CB1" w:rsidP="00EB6174">
      <w:pPr>
        <w:pStyle w:val="berschrift3"/>
      </w:pPr>
      <w:bookmarkStart w:id="233" w:name="_Toc144908082"/>
      <w:r w:rsidRPr="00F41258">
        <w:t>Nachweise</w:t>
      </w:r>
      <w:bookmarkEnd w:id="233"/>
    </w:p>
    <w:p w14:paraId="4EEFFFF3" w14:textId="5DC05C67" w:rsidR="00232CB1" w:rsidRPr="00F41258" w:rsidRDefault="00232CB1" w:rsidP="009B6F99">
      <w:pPr>
        <w:pStyle w:val="Listenabsatz"/>
        <w:numPr>
          <w:ilvl w:val="0"/>
          <w:numId w:val="19"/>
        </w:numPr>
      </w:pPr>
      <w:r w:rsidRPr="00F41258">
        <w:t>Bestätigung eines Fachunternehmens über die Durchführung des hydraulischen Abgleichs unter Verwendung des Bestätigungsformulars für Einzelmaßnahmen</w:t>
      </w:r>
      <w:r w:rsidR="00DB3CF2" w:rsidRPr="00F41258">
        <w:t xml:space="preserve"> der „</w:t>
      </w:r>
      <w:proofErr w:type="spellStart"/>
      <w:r w:rsidR="00DB3CF2" w:rsidRPr="00F41258">
        <w:t>VdZ</w:t>
      </w:r>
      <w:proofErr w:type="spellEnd"/>
      <w:r w:rsidR="00DB3CF2" w:rsidRPr="00F41258">
        <w:t xml:space="preserve"> − Wirtschaftsvereinigung Gebäude und Energie e.V.“ (www.vdzev.de/broschueren/formulare-hydraulischer-abgleich)</w:t>
      </w:r>
    </w:p>
    <w:p w14:paraId="683AEF48" w14:textId="004A7431" w:rsidR="00232CB1" w:rsidRPr="00F41258" w:rsidRDefault="00232CB1" w:rsidP="009B6F99">
      <w:pPr>
        <w:pStyle w:val="Listenabsatz"/>
        <w:numPr>
          <w:ilvl w:val="0"/>
          <w:numId w:val="19"/>
        </w:numPr>
      </w:pPr>
      <w:r w:rsidRPr="00F41258">
        <w:t>Fachunternehmererklärung</w:t>
      </w:r>
    </w:p>
    <w:p w14:paraId="2DB8C5B3" w14:textId="07057A02" w:rsidR="00B77158" w:rsidRPr="00F41258" w:rsidRDefault="00802FFE" w:rsidP="009B6F99">
      <w:pPr>
        <w:pStyle w:val="Listenabsatz"/>
        <w:numPr>
          <w:ilvl w:val="0"/>
          <w:numId w:val="19"/>
        </w:numPr>
      </w:pPr>
      <w:r w:rsidRPr="00F41258">
        <w:t>Nachweis über die Jahresarbeitszahl gemäß Berechnung nach VDI 4650 Blatt 1: 2019-03</w:t>
      </w:r>
    </w:p>
    <w:p w14:paraId="37FA8D79" w14:textId="408E49FA" w:rsidR="00232CB1" w:rsidRPr="00F41258" w:rsidRDefault="00232CB1" w:rsidP="009B6F99">
      <w:pPr>
        <w:pStyle w:val="Listenabsatz"/>
        <w:numPr>
          <w:ilvl w:val="0"/>
          <w:numId w:val="19"/>
        </w:numPr>
      </w:pPr>
      <w:r w:rsidRPr="00F41258">
        <w:t>Vorhabenbezogene Rechnungen und Nachweise über die geleisteten Zahlungen, Aufstellung der förderfähigen Investitionsmaßnahmen und -kosten</w:t>
      </w:r>
    </w:p>
    <w:p w14:paraId="22123F83" w14:textId="6C26A575" w:rsidR="00232CB1" w:rsidRPr="00F41258" w:rsidRDefault="00232CB1" w:rsidP="009B6F99">
      <w:pPr>
        <w:pStyle w:val="Listenabsatz"/>
        <w:numPr>
          <w:ilvl w:val="0"/>
          <w:numId w:val="19"/>
        </w:numPr>
      </w:pPr>
      <w:r w:rsidRPr="00F41258">
        <w:t>Vorlage eines DVGW W 120-2 Zertifikats</w:t>
      </w:r>
    </w:p>
    <w:p w14:paraId="311B554A" w14:textId="00E69372" w:rsidR="00232CB1" w:rsidRPr="00F41258" w:rsidRDefault="00232CB1" w:rsidP="009B6F99">
      <w:pPr>
        <w:pStyle w:val="Listenabsatz"/>
        <w:numPr>
          <w:ilvl w:val="0"/>
          <w:numId w:val="19"/>
        </w:numPr>
      </w:pPr>
      <w:r w:rsidRPr="00F41258">
        <w:t>Vorlage eines Versicherungsscheins und eines Zahlungsnachweises</w:t>
      </w:r>
    </w:p>
    <w:p w14:paraId="00A3C36A" w14:textId="1E1C8622" w:rsidR="00232CB1" w:rsidRPr="00F41258" w:rsidRDefault="00232CB1" w:rsidP="009B6F99">
      <w:pPr>
        <w:pStyle w:val="Listenabsatz"/>
        <w:numPr>
          <w:ilvl w:val="0"/>
          <w:numId w:val="19"/>
        </w:numPr>
      </w:pPr>
      <w:r w:rsidRPr="00F41258">
        <w:t xml:space="preserve">Vorlage eines in </w:t>
      </w:r>
      <w:hyperlink w:anchor="_Unabhängige_Prüfung/Zertifizierung" w:history="1">
        <w:r w:rsidR="00F12AC3" w:rsidRPr="00F41258">
          <w:rPr>
            <w:rStyle w:val="Hyperlink"/>
          </w:rPr>
          <w:t xml:space="preserve">TMA </w:t>
        </w:r>
        <w:r w:rsidRPr="00F41258">
          <w:rPr>
            <w:rStyle w:val="Hyperlink"/>
          </w:rPr>
          <w:t>Nummer 3.</w:t>
        </w:r>
        <w:r w:rsidR="00CE4AA3" w:rsidRPr="00F41258">
          <w:rPr>
            <w:rStyle w:val="Hyperlink"/>
          </w:rPr>
          <w:t>4</w:t>
        </w:r>
        <w:r w:rsidRPr="00F41258">
          <w:rPr>
            <w:rStyle w:val="Hyperlink"/>
          </w:rPr>
          <w:t>.1</w:t>
        </w:r>
      </w:hyperlink>
      <w:r w:rsidRPr="00F41258">
        <w:t xml:space="preserve"> genannten Prüfberichts bzw. Prüfzertifikats über die unabhängige Prüfung/Zertifizierung.</w:t>
      </w:r>
    </w:p>
    <w:p w14:paraId="258C7095" w14:textId="7303A342" w:rsidR="00232CB1" w:rsidRPr="00F41258" w:rsidRDefault="00533E92" w:rsidP="009B6F99">
      <w:pPr>
        <w:pStyle w:val="Listenabsatz"/>
        <w:numPr>
          <w:ilvl w:val="0"/>
          <w:numId w:val="20"/>
        </w:numPr>
      </w:pPr>
      <w:r w:rsidRPr="00F41258">
        <w:t>D</w:t>
      </w:r>
      <w:r w:rsidR="00815852" w:rsidRPr="00F41258">
        <w:t xml:space="preserve">ie </w:t>
      </w:r>
      <w:r w:rsidR="00232CB1" w:rsidRPr="00F41258">
        <w:t>förderfähige</w:t>
      </w:r>
      <w:r w:rsidR="00815852" w:rsidRPr="00F41258">
        <w:t>n</w:t>
      </w:r>
      <w:r w:rsidR="00232CB1" w:rsidRPr="00F41258">
        <w:t xml:space="preserve"> Wärmepumpen sind in einer Anlagenliste aufgeführt, die vom BAFA fortlaufend aktualisiert wird. Wärmepumpen, die werkseitig über Schnittstellen zur netzdienlichen Aktivierung verfügen, sind in der Anlagenliste des BAFA entsprechend markiert (</w:t>
      </w:r>
      <w:hyperlink r:id="rId24" w:tooltip="http://www.BAFA.de" w:history="1">
        <w:r w:rsidR="00232CB1" w:rsidRPr="00F41258">
          <w:rPr>
            <w:u w:val="single"/>
          </w:rPr>
          <w:t>www.BAFA.de</w:t>
        </w:r>
      </w:hyperlink>
      <w:r w:rsidR="00232CB1" w:rsidRPr="00F41258">
        <w:t>).</w:t>
      </w:r>
    </w:p>
    <w:p w14:paraId="17C7CB04" w14:textId="01A12931" w:rsidR="00232CB1" w:rsidRPr="00F41258" w:rsidRDefault="00232CB1" w:rsidP="009B6F99">
      <w:pPr>
        <w:pStyle w:val="Listenabsatz"/>
        <w:numPr>
          <w:ilvl w:val="0"/>
          <w:numId w:val="20"/>
        </w:numPr>
      </w:pPr>
      <w:r w:rsidRPr="00F41258">
        <w:t xml:space="preserve">Herstellernachweis nach </w:t>
      </w:r>
      <w:hyperlink w:anchor="_Netzdienlichkeit" w:history="1">
        <w:r w:rsidR="00F12AC3" w:rsidRPr="00F41258">
          <w:rPr>
            <w:rStyle w:val="Hyperlink"/>
          </w:rPr>
          <w:t xml:space="preserve">TMA </w:t>
        </w:r>
        <w:r w:rsidRPr="00F41258">
          <w:rPr>
            <w:rStyle w:val="Hyperlink"/>
          </w:rPr>
          <w:t>Nummer 3.</w:t>
        </w:r>
        <w:r w:rsidR="00CE4AA3" w:rsidRPr="00F41258">
          <w:rPr>
            <w:rStyle w:val="Hyperlink"/>
          </w:rPr>
          <w:t>4</w:t>
        </w:r>
        <w:r w:rsidRPr="00F41258">
          <w:rPr>
            <w:rStyle w:val="Hyperlink"/>
          </w:rPr>
          <w:t>.3</w:t>
        </w:r>
      </w:hyperlink>
      <w:r w:rsidRPr="00F41258">
        <w:t xml:space="preserve"> (Netzdienlichkeit)</w:t>
      </w:r>
    </w:p>
    <w:p w14:paraId="30FF0940" w14:textId="13438977" w:rsidR="00DF1168" w:rsidRPr="00F41258" w:rsidRDefault="00232CB1" w:rsidP="009B6F99">
      <w:pPr>
        <w:pStyle w:val="Listenabsatz"/>
        <w:numPr>
          <w:ilvl w:val="0"/>
          <w:numId w:val="20"/>
        </w:numPr>
      </w:pPr>
      <w:r w:rsidRPr="00F41258">
        <w:t>Herstellernachweise zu den weiteren produktspezifischen Kenndaten und Geräteeigenschaften</w:t>
      </w:r>
    </w:p>
    <w:p w14:paraId="3203D58E" w14:textId="1EB5F646" w:rsidR="00DF1168" w:rsidRPr="00F41258" w:rsidRDefault="003B630A" w:rsidP="00F94F29">
      <w:pPr>
        <w:pStyle w:val="berschrift2"/>
      </w:pPr>
      <w:bookmarkStart w:id="234" w:name="_Brennstoffzellenheizungen"/>
      <w:bookmarkStart w:id="235" w:name="_Toc112915723"/>
      <w:bookmarkStart w:id="236" w:name="_Toc144908083"/>
      <w:bookmarkEnd w:id="234"/>
      <w:r w:rsidRPr="00F41258">
        <w:t>Brennstoffzellenheizungen</w:t>
      </w:r>
      <w:bookmarkEnd w:id="235"/>
      <w:bookmarkEnd w:id="236"/>
    </w:p>
    <w:p w14:paraId="73F7F8FA" w14:textId="50DBBF65" w:rsidR="0052145E" w:rsidRPr="00F41258" w:rsidRDefault="0052145E" w:rsidP="00EB6174">
      <w:pPr>
        <w:pStyle w:val="berschrift3"/>
      </w:pPr>
      <w:bookmarkStart w:id="237" w:name="_Toc144908084"/>
      <w:r w:rsidRPr="00F41258">
        <w:lastRenderedPageBreak/>
        <w:t>Anforderungen</w:t>
      </w:r>
      <w:bookmarkEnd w:id="237"/>
    </w:p>
    <w:p w14:paraId="61B975E3" w14:textId="04A92512" w:rsidR="0052145E" w:rsidRPr="00F41258" w:rsidRDefault="0052145E" w:rsidP="003B630A">
      <w:r w:rsidRPr="00F41258">
        <w:t>Die folgenden Anforderungen sind zu erfüllen:</w:t>
      </w:r>
    </w:p>
    <w:p w14:paraId="0D1A5CA2" w14:textId="698EA2B9" w:rsidR="003B630A" w:rsidRPr="00F41258" w:rsidRDefault="003B630A" w:rsidP="009B6F99">
      <w:pPr>
        <w:pStyle w:val="Listenabsatz"/>
        <w:numPr>
          <w:ilvl w:val="0"/>
          <w:numId w:val="28"/>
        </w:numPr>
      </w:pPr>
      <w:r w:rsidRPr="00F41258">
        <w:t xml:space="preserve">Die </w:t>
      </w:r>
      <w:bookmarkStart w:id="238" w:name="_Hlk119398185"/>
      <w:r w:rsidRPr="00F41258">
        <w:t xml:space="preserve">Brennstoffzellen-Heizsysteme dürfen ausschließlich mit </w:t>
      </w:r>
      <w:bookmarkStart w:id="239" w:name="_Hlk112862516"/>
      <w:r w:rsidR="00B801C5" w:rsidRPr="00F41258">
        <w:t>grünem</w:t>
      </w:r>
      <w:r w:rsidR="00440FD0" w:rsidRPr="00F41258">
        <w:t xml:space="preserve"> oder blauem</w:t>
      </w:r>
      <w:r w:rsidR="00B801C5" w:rsidRPr="00F41258">
        <w:t xml:space="preserve"> </w:t>
      </w:r>
      <w:r w:rsidRPr="00F41258">
        <w:t xml:space="preserve">Wasserstoff </w:t>
      </w:r>
      <w:r w:rsidR="00D2527A" w:rsidRPr="00F41258">
        <w:t>oder Bio</w:t>
      </w:r>
      <w:r w:rsidR="00C209DE" w:rsidRPr="00F41258">
        <w:t xml:space="preserve">methan </w:t>
      </w:r>
      <w:r w:rsidRPr="00F41258">
        <w:t>betrieben werden</w:t>
      </w:r>
      <w:bookmarkEnd w:id="238"/>
      <w:bookmarkEnd w:id="239"/>
      <w:r w:rsidRPr="00F41258">
        <w:t>.</w:t>
      </w:r>
      <w:r w:rsidR="00E73C42" w:rsidRPr="00F41258">
        <w:t xml:space="preserve"> Kosten für die Herstellung des Wasserstoffes sind nicht förderfähig (z. B. Kosten für Elektrolyseure).</w:t>
      </w:r>
      <w:r w:rsidR="00B73EFD" w:rsidRPr="00F41258">
        <w:t xml:space="preserve"> </w:t>
      </w:r>
      <w:r w:rsidRPr="00F41258">
        <w:t>Die Brennstoffzelle ist in die Wärme- und Stromversorgung des Gebäudes einzubinden.</w:t>
      </w:r>
    </w:p>
    <w:p w14:paraId="3370AD33" w14:textId="38ECCAAF" w:rsidR="00B03451" w:rsidRPr="00F41258" w:rsidRDefault="003B630A" w:rsidP="009B6F99">
      <w:pPr>
        <w:pStyle w:val="Listenabsatz"/>
        <w:numPr>
          <w:ilvl w:val="0"/>
          <w:numId w:val="28"/>
        </w:numPr>
      </w:pPr>
      <w:r w:rsidRPr="00F41258">
        <w:t xml:space="preserve">Zum Zeitpunkt der Inbetriebnahme der Brennstoffzelle muss der Gesamtwirkungsgrad η ≥ 0,82 und der elektrische Wirkungsgrad </w:t>
      </w:r>
      <w:proofErr w:type="spellStart"/>
      <w:r w:rsidRPr="00F41258">
        <w:t>η</w:t>
      </w:r>
      <w:r w:rsidRPr="00F41258">
        <w:rPr>
          <w:vertAlign w:val="subscript"/>
        </w:rPr>
        <w:t>el</w:t>
      </w:r>
      <w:proofErr w:type="spellEnd"/>
      <w:r w:rsidRPr="00F41258">
        <w:t xml:space="preserve"> ≥ 0,32 betragen</w:t>
      </w:r>
      <w:r w:rsidR="00CA0A15" w:rsidRPr="00F41258">
        <w:t>.</w:t>
      </w:r>
      <w:r w:rsidR="004A15FE" w:rsidRPr="00F41258">
        <w:t xml:space="preserve"> </w:t>
      </w:r>
      <w:r w:rsidR="00B03451" w:rsidRPr="00F41258">
        <w:t xml:space="preserve">Der Hersteller stellt – zum Beispiel über die Verfügbarkeit von Ersatzteilen – einen Betrieb der Brennstoffzelle für einen Zeitraum von zehn Jahren sicher. </w:t>
      </w:r>
    </w:p>
    <w:p w14:paraId="68893B7F" w14:textId="74C7025A" w:rsidR="00B03451" w:rsidRPr="00F41258" w:rsidRDefault="00B03451" w:rsidP="009B6F99">
      <w:pPr>
        <w:pStyle w:val="Listenabsatz"/>
        <w:numPr>
          <w:ilvl w:val="0"/>
          <w:numId w:val="28"/>
        </w:numPr>
      </w:pPr>
      <w:r w:rsidRPr="00F41258">
        <w:t xml:space="preserve">Für die Brennstoffzelle ist eine Vollwartung über mindestens zehn Jahre zu vereinbaren, die dem Käufer einen elektrischen Wirkungsgrad von mindestens </w:t>
      </w:r>
      <w:proofErr w:type="spellStart"/>
      <w:r w:rsidRPr="00F41258">
        <w:t>η</w:t>
      </w:r>
      <w:r w:rsidRPr="00F41258">
        <w:rPr>
          <w:vertAlign w:val="subscript"/>
        </w:rPr>
        <w:t>el</w:t>
      </w:r>
      <w:proofErr w:type="spellEnd"/>
      <w:r w:rsidRPr="00F41258">
        <w:t> ≥ 0,26 sowie die Reparatur und Wiederinbetriebnahme im Fall von Störungen zusichert.</w:t>
      </w:r>
    </w:p>
    <w:p w14:paraId="745DE780" w14:textId="1265D42F" w:rsidR="003B630A" w:rsidRPr="00F41258" w:rsidRDefault="003B630A" w:rsidP="00EB6174">
      <w:pPr>
        <w:pStyle w:val="berschrift3"/>
      </w:pPr>
      <w:bookmarkStart w:id="240" w:name="_Toc144908085"/>
      <w:r w:rsidRPr="00F41258">
        <w:t>Nachweise</w:t>
      </w:r>
      <w:bookmarkEnd w:id="240"/>
    </w:p>
    <w:p w14:paraId="51870BD7" w14:textId="1CF95131" w:rsidR="003B630A" w:rsidRPr="00F41258" w:rsidRDefault="003B630A" w:rsidP="009B6F99">
      <w:pPr>
        <w:pStyle w:val="Listenabsatz"/>
        <w:numPr>
          <w:ilvl w:val="0"/>
          <w:numId w:val="29"/>
        </w:numPr>
      </w:pPr>
      <w:r w:rsidRPr="00F41258">
        <w:t xml:space="preserve">Bestätigung eines Fachunternehmens über die Durchführung des hydraulischen Abgleichs unter Verwendung des Bestätigungsformulars für Einzelmaßnahmen </w:t>
      </w:r>
      <w:r w:rsidR="00DB3CF2" w:rsidRPr="00F41258">
        <w:t>der „</w:t>
      </w:r>
      <w:proofErr w:type="spellStart"/>
      <w:r w:rsidR="00DB3CF2" w:rsidRPr="00F41258">
        <w:t>VdZ</w:t>
      </w:r>
      <w:proofErr w:type="spellEnd"/>
      <w:r w:rsidR="00DB3CF2" w:rsidRPr="00F41258">
        <w:t xml:space="preserve"> − Wirtschaftsvereinigung Gebäude und Energie e.V.“ (www.vdzev.de/broschueren/formulare-hydraulischer-abgleich)</w:t>
      </w:r>
    </w:p>
    <w:p w14:paraId="44DE1823" w14:textId="535F868C" w:rsidR="003B630A" w:rsidRPr="00F41258" w:rsidRDefault="003B630A" w:rsidP="009B6F99">
      <w:pPr>
        <w:pStyle w:val="Listenabsatz"/>
        <w:numPr>
          <w:ilvl w:val="0"/>
          <w:numId w:val="29"/>
        </w:numPr>
      </w:pPr>
      <w:r w:rsidRPr="00F41258">
        <w:t>Fachunternehmererklärung</w:t>
      </w:r>
    </w:p>
    <w:p w14:paraId="1750D92C" w14:textId="638F9DF1" w:rsidR="003B630A" w:rsidRPr="00F41258" w:rsidRDefault="003B630A" w:rsidP="009B6F99">
      <w:pPr>
        <w:pStyle w:val="Listenabsatz"/>
        <w:numPr>
          <w:ilvl w:val="0"/>
          <w:numId w:val="29"/>
        </w:numPr>
      </w:pPr>
      <w:r w:rsidRPr="00F41258">
        <w:t>Vorhabenbezogene Rechnungen und Nachweise über die geleisteten Zahlungen, Aufstellung der förderfähigen Investitionsmaßnahmen und -ausgaben</w:t>
      </w:r>
    </w:p>
    <w:p w14:paraId="08902519" w14:textId="6470A6A8" w:rsidR="00DF1168" w:rsidRPr="00F41258" w:rsidRDefault="003B630A" w:rsidP="009B6F99">
      <w:pPr>
        <w:pStyle w:val="Listenabsatz"/>
        <w:numPr>
          <w:ilvl w:val="0"/>
          <w:numId w:val="29"/>
        </w:numPr>
      </w:pPr>
      <w:r w:rsidRPr="00F41258">
        <w:t>Herstellernachweise zu den produktspezifischen Kenndaten und Geräteeigenschaften</w:t>
      </w:r>
    </w:p>
    <w:p w14:paraId="28469B27" w14:textId="144FF6FD" w:rsidR="0014617F" w:rsidRPr="00F41258" w:rsidRDefault="0014617F" w:rsidP="00583FF0">
      <w:pPr>
        <w:pStyle w:val="berschrift2"/>
      </w:pPr>
      <w:bookmarkStart w:id="241" w:name="_Toc144908086"/>
      <w:r w:rsidRPr="00F41258">
        <w:t>Wasserstofffähige Heizung</w:t>
      </w:r>
      <w:r w:rsidR="00D5639B" w:rsidRPr="00F41258">
        <w:t>sanlagen</w:t>
      </w:r>
      <w:r w:rsidRPr="00F41258">
        <w:t xml:space="preserve"> </w:t>
      </w:r>
      <w:bookmarkEnd w:id="241"/>
    </w:p>
    <w:p w14:paraId="162E8348" w14:textId="4BF3C1BA" w:rsidR="00D5639B" w:rsidRPr="00F41258" w:rsidRDefault="00182074" w:rsidP="00B12181">
      <w:r w:rsidRPr="00F41258">
        <w:t>Gefördert werden die Investitionsmehrkosten bei der Errichtung von wasserstofffähigen Heizungsanlagen, wenn diese</w:t>
      </w:r>
      <w:r w:rsidR="007627FF" w:rsidRPr="00F41258">
        <w:t xml:space="preserve"> </w:t>
      </w:r>
      <w:r w:rsidR="00485D82" w:rsidRPr="00F41258">
        <w:t>bei Inbetriebnahme</w:t>
      </w:r>
      <w:r w:rsidRPr="00F41258">
        <w:t xml:space="preserve"> </w:t>
      </w:r>
      <w:r w:rsidR="007627FF" w:rsidRPr="00F41258">
        <w:t>oder durch geringinvestive Maßnahmen zu 100 % mit Wasserstoff betreibbar sind</w:t>
      </w:r>
      <w:r w:rsidRPr="00F41258">
        <w:t>. Dies gilt auch, wenn eine Belieferung mit Wasserstoff bisher nicht oder nur teilweise möglich ist. In diesen Fällen gelten die Anforderungen und Fristen gemäß § 71</w:t>
      </w:r>
      <w:r w:rsidR="00B32DF3" w:rsidRPr="00F41258">
        <w:t>k</w:t>
      </w:r>
      <w:r w:rsidRPr="00F41258">
        <w:t xml:space="preserve"> GEG.</w:t>
      </w:r>
    </w:p>
    <w:p w14:paraId="46A17590" w14:textId="60BEE39A" w:rsidR="0014617F" w:rsidRPr="00F41258" w:rsidRDefault="00D5639B" w:rsidP="0052411E">
      <w:pPr>
        <w:pStyle w:val="berschrift3"/>
      </w:pPr>
      <w:bookmarkStart w:id="242" w:name="_Toc144908087"/>
      <w:r w:rsidRPr="00F41258">
        <w:t>Energieeffizienz</w:t>
      </w:r>
      <w:bookmarkEnd w:id="242"/>
    </w:p>
    <w:p w14:paraId="3AD2C57F" w14:textId="37A05F75" w:rsidR="0052411E" w:rsidRPr="00F41258" w:rsidRDefault="0052411E" w:rsidP="00B12181">
      <w:r w:rsidRPr="00F41258">
        <w:t xml:space="preserve">Die „jahreszeitbedingte Raumheizungs-Energieeffizienz“ </w:t>
      </w:r>
      <w:proofErr w:type="spellStart"/>
      <w:r w:rsidRPr="00F41258">
        <w:t>ƞ</w:t>
      </w:r>
      <w:r w:rsidRPr="00F41258">
        <w:rPr>
          <w:vertAlign w:val="subscript"/>
        </w:rPr>
        <w:t>s</w:t>
      </w:r>
      <w:proofErr w:type="spellEnd"/>
      <w:r w:rsidRPr="00F41258">
        <w:t xml:space="preserve"> (= ETAs)</w:t>
      </w:r>
      <w:r w:rsidR="00182074" w:rsidRPr="00F41258">
        <w:t xml:space="preserve"> gemäß Öko-Design-Richtlinie</w:t>
      </w:r>
      <w:r w:rsidRPr="00F41258">
        <w:t xml:space="preserve"> </w:t>
      </w:r>
      <w:r w:rsidR="00D5639B" w:rsidRPr="00F41258">
        <w:t>de</w:t>
      </w:r>
      <w:r w:rsidR="00182074" w:rsidRPr="00F41258">
        <w:t>s</w:t>
      </w:r>
      <w:r w:rsidR="00D5639B" w:rsidRPr="00F41258">
        <w:t xml:space="preserve"> wasserstofffähigen Wärmeerzeuger</w:t>
      </w:r>
      <w:r w:rsidRPr="00F41258">
        <w:t xml:space="preserve"> mit einer Nennwärmeleistung von bis zu 70 kW muss mindestens 92 % erreichen. </w:t>
      </w:r>
      <w:r w:rsidR="00D5639B" w:rsidRPr="00F41258">
        <w:t>Wärmeerzeuger</w:t>
      </w:r>
      <w:r w:rsidRPr="00F41258">
        <w:t xml:space="preserve"> mit einer Nennleistung über 70 kW müssen einen Wirkungsgrad von 87 % bei Volllast und 96 % bei 30 % Teillast erreichen. </w:t>
      </w:r>
      <w:r w:rsidR="0022030C" w:rsidRPr="00F41258">
        <w:t>[</w:t>
      </w:r>
      <w:r w:rsidRPr="00F41258">
        <w:t>Der Nachweis erfolgt über die Konformitätserklärung des Herstellers gemäß Verordnung (EU) Nr. 813/2013 bzw. über das Etikett gemäß Verordnung (EU) Nr. 811/2013.</w:t>
      </w:r>
      <w:r w:rsidR="0022030C" w:rsidRPr="00F41258">
        <w:t>]</w:t>
      </w:r>
    </w:p>
    <w:p w14:paraId="7673F9FD" w14:textId="1CEB8B0E" w:rsidR="0052411E" w:rsidRPr="00F41258" w:rsidRDefault="0052411E" w:rsidP="0052411E">
      <w:pPr>
        <w:pStyle w:val="berschrift3"/>
      </w:pPr>
      <w:bookmarkStart w:id="243" w:name="_Toc144908088"/>
      <w:r w:rsidRPr="00F41258">
        <w:lastRenderedPageBreak/>
        <w:t>Nachweise</w:t>
      </w:r>
      <w:bookmarkEnd w:id="243"/>
    </w:p>
    <w:p w14:paraId="740B85F1" w14:textId="298C8E02" w:rsidR="00D5639B" w:rsidRPr="00F41258" w:rsidRDefault="00D5639B" w:rsidP="009B6F99">
      <w:pPr>
        <w:pStyle w:val="Listenabsatz"/>
        <w:numPr>
          <w:ilvl w:val="0"/>
          <w:numId w:val="29"/>
        </w:numPr>
      </w:pPr>
      <w:r w:rsidRPr="00F41258">
        <w:t xml:space="preserve">Bestätigung eines Fachunternehmens über die </w:t>
      </w:r>
      <w:bookmarkStart w:id="244" w:name="_Toc112915724"/>
      <w:r w:rsidR="00232CB1" w:rsidRPr="00F41258">
        <w:t>Durchführung des hydraulischen Abgleichs</w:t>
      </w:r>
      <w:r w:rsidRPr="00F41258">
        <w:t xml:space="preserve"> unter Verwendung des Bestätigungsformulars für Einzelmaßnahmen der „</w:t>
      </w:r>
      <w:proofErr w:type="spellStart"/>
      <w:r w:rsidRPr="00F41258">
        <w:t>VdZ</w:t>
      </w:r>
      <w:proofErr w:type="spellEnd"/>
      <w:r w:rsidRPr="00F41258">
        <w:t xml:space="preserve"> − Wirtschaftsvereinigung Gebäude und Energie e.V.“ (www.vdzev.de/broschueren/formulare-hydraulischer-abgleich)</w:t>
      </w:r>
    </w:p>
    <w:p w14:paraId="791E76B1" w14:textId="77777777" w:rsidR="00D5639B" w:rsidRPr="00F41258" w:rsidRDefault="00D5639B" w:rsidP="009B6F99">
      <w:pPr>
        <w:pStyle w:val="Listenabsatz"/>
        <w:numPr>
          <w:ilvl w:val="0"/>
          <w:numId w:val="29"/>
        </w:numPr>
      </w:pPr>
      <w:r w:rsidRPr="00F41258">
        <w:t>Fachunternehmererklärung</w:t>
      </w:r>
    </w:p>
    <w:p w14:paraId="59D592DA" w14:textId="7C643B2F" w:rsidR="00D5639B" w:rsidRPr="00F41258" w:rsidRDefault="00D5639B" w:rsidP="009B6F99">
      <w:pPr>
        <w:pStyle w:val="Listenabsatz"/>
        <w:numPr>
          <w:ilvl w:val="0"/>
          <w:numId w:val="29"/>
        </w:numPr>
      </w:pPr>
      <w:r w:rsidRPr="00F41258">
        <w:t xml:space="preserve">Vorhabenbezogene Rechnungen und Nachweise über die geleisteten Zahlungen, Aufstellung der förderfähigen Investitionsmaßnahmen und -ausgaben insbesondere den Investitionsmehrkosten gegenüber einer nicht-wasserstofffähigen Heizung </w:t>
      </w:r>
    </w:p>
    <w:p w14:paraId="13425D8C" w14:textId="11B840A1" w:rsidR="00D5639B" w:rsidRPr="00F41258" w:rsidRDefault="00D5639B" w:rsidP="009B6F99">
      <w:pPr>
        <w:pStyle w:val="Listenabsatz"/>
        <w:numPr>
          <w:ilvl w:val="0"/>
          <w:numId w:val="29"/>
        </w:numPr>
      </w:pPr>
      <w:r w:rsidRPr="00F41258">
        <w:t>Herstellernachweise zu den produktspezifischen Kenndaten und Geräteeigenschaften</w:t>
      </w:r>
    </w:p>
    <w:p w14:paraId="0ACC8268" w14:textId="6F287363" w:rsidR="00232CB1" w:rsidRPr="00F41258" w:rsidRDefault="00232CB1" w:rsidP="00583FF0">
      <w:pPr>
        <w:pStyle w:val="berschrift2"/>
      </w:pPr>
      <w:bookmarkStart w:id="245" w:name="_Innovative_Heiztechnik_auf"/>
      <w:bookmarkStart w:id="246" w:name="_Toc144908089"/>
      <w:bookmarkEnd w:id="245"/>
      <w:r w:rsidRPr="00F41258">
        <w:t>Innovative Heiztechnik auf Basis erneuerbarer Energien</w:t>
      </w:r>
      <w:bookmarkEnd w:id="244"/>
      <w:bookmarkEnd w:id="246"/>
    </w:p>
    <w:p w14:paraId="248DD42F" w14:textId="716065DE" w:rsidR="00446F34" w:rsidRPr="00F41258" w:rsidRDefault="00446F34" w:rsidP="00EB6174">
      <w:pPr>
        <w:pStyle w:val="berschrift3"/>
      </w:pPr>
      <w:bookmarkStart w:id="247" w:name="_Toc144908090"/>
      <w:r w:rsidRPr="00F41258">
        <w:t>Anforderungen</w:t>
      </w:r>
      <w:bookmarkEnd w:id="247"/>
    </w:p>
    <w:p w14:paraId="62B38C52" w14:textId="2D8FD30B" w:rsidR="00232CB1" w:rsidRPr="00F41258" w:rsidRDefault="00232CB1" w:rsidP="00583FF0">
      <w:r w:rsidRPr="00F41258">
        <w:t>Gefördert wird die Errichtung von innovativen effizienten Heizungsanlagen, die auf der Nutzung von erneuerbaren Energien basieren und erneuerbare Energien für die Wärmeerzeugung mit einem Anteil von mindestens 80 % der Gebäudeheizlast</w:t>
      </w:r>
      <w:r w:rsidR="00A267EE" w:rsidRPr="00F41258">
        <w:t xml:space="preserve"> sowie mindestens 80 % </w:t>
      </w:r>
      <w:r w:rsidR="00261961" w:rsidRPr="00F41258">
        <w:t xml:space="preserve">ihrer </w:t>
      </w:r>
      <w:r w:rsidR="00B801C5" w:rsidRPr="00F41258">
        <w:t>Nennl</w:t>
      </w:r>
      <w:r w:rsidR="00261961" w:rsidRPr="00F41258">
        <w:t>eistung</w:t>
      </w:r>
      <w:r w:rsidRPr="00F41258">
        <w:t xml:space="preserve"> einbinden, soweit sie nicht unter die </w:t>
      </w:r>
      <w:hyperlink w:anchor="_Solarthermische_AnlagenSolarkollekt" w:history="1">
        <w:r w:rsidR="00927C7E" w:rsidRPr="00F41258">
          <w:rPr>
            <w:rStyle w:val="Hyperlink"/>
          </w:rPr>
          <w:t xml:space="preserve">TMA </w:t>
        </w:r>
        <w:r w:rsidRPr="00F41258">
          <w:rPr>
            <w:rStyle w:val="Hyperlink"/>
          </w:rPr>
          <w:t>Nummern 3.2</w:t>
        </w:r>
      </w:hyperlink>
      <w:r w:rsidRPr="00F41258">
        <w:t xml:space="preserve"> bis </w:t>
      </w:r>
      <w:hyperlink w:anchor="_Brennstoffzellenheizungen" w:history="1">
        <w:r w:rsidRPr="00F41258">
          <w:rPr>
            <w:rStyle w:val="Hyperlink"/>
          </w:rPr>
          <w:t>3.</w:t>
        </w:r>
        <w:r w:rsidR="00D4601B" w:rsidRPr="00F41258">
          <w:rPr>
            <w:rStyle w:val="Hyperlink"/>
          </w:rPr>
          <w:t>6</w:t>
        </w:r>
      </w:hyperlink>
      <w:r w:rsidRPr="00F41258">
        <w:t xml:space="preserve"> fallen.</w:t>
      </w:r>
    </w:p>
    <w:p w14:paraId="1D1B1D01" w14:textId="08C2D35F" w:rsidR="00232CB1" w:rsidRPr="00F41258" w:rsidRDefault="00232CB1" w:rsidP="00583FF0"/>
    <w:p w14:paraId="58B2446C" w14:textId="374D423B" w:rsidR="00232CB1" w:rsidRPr="00F41258" w:rsidRDefault="00232CB1" w:rsidP="00EB6174">
      <w:pPr>
        <w:pStyle w:val="berschrift3"/>
      </w:pPr>
      <w:bookmarkStart w:id="248" w:name="_Toc144908091"/>
      <w:r w:rsidRPr="00F41258">
        <w:t>Nachweise</w:t>
      </w:r>
      <w:bookmarkEnd w:id="248"/>
    </w:p>
    <w:p w14:paraId="49F7D13B" w14:textId="1BE6E737" w:rsidR="00232CB1" w:rsidRPr="00F41258" w:rsidRDefault="00232CB1" w:rsidP="009B6F99">
      <w:pPr>
        <w:pStyle w:val="Listenabsatz"/>
        <w:numPr>
          <w:ilvl w:val="0"/>
          <w:numId w:val="20"/>
        </w:numPr>
      </w:pPr>
      <w:r w:rsidRPr="00F41258">
        <w:t>Berechnung der Gebäudeheizlast und Nachweis des Anteils von mindestens 80 % der Gebäudeheizlast durch Deckung von Wärmeerzeugern auf der Basis erneuerbarer Energien</w:t>
      </w:r>
    </w:p>
    <w:p w14:paraId="432290C9" w14:textId="393AED7A" w:rsidR="00232CB1" w:rsidRPr="00F41258" w:rsidRDefault="00232CB1" w:rsidP="009B6F99">
      <w:pPr>
        <w:pStyle w:val="Listenabsatz"/>
        <w:numPr>
          <w:ilvl w:val="0"/>
          <w:numId w:val="20"/>
        </w:numPr>
      </w:pPr>
      <w:r w:rsidRPr="00F41258">
        <w:t xml:space="preserve">Bestätigung eines Fachunternehmens über die Durchführung des hydraulischen Abgleichs unter Verwendung des Bestätigungsformulars für Einzelmaßnahmen </w:t>
      </w:r>
      <w:r w:rsidR="00DB3CF2" w:rsidRPr="00F41258">
        <w:t>der „</w:t>
      </w:r>
      <w:proofErr w:type="spellStart"/>
      <w:r w:rsidR="00DB3CF2" w:rsidRPr="00F41258">
        <w:t>VdZ</w:t>
      </w:r>
      <w:proofErr w:type="spellEnd"/>
      <w:r w:rsidR="00DB3CF2" w:rsidRPr="00F41258">
        <w:t xml:space="preserve"> − Wirtschaftsvereinigung Gebäude und Energie e.V.“ (www.vdzev.de/broschueren/formulare-hydraulischer-abgleich)</w:t>
      </w:r>
    </w:p>
    <w:p w14:paraId="20194C62" w14:textId="14F16D77" w:rsidR="00232CB1" w:rsidRPr="00F41258" w:rsidRDefault="00232CB1" w:rsidP="009B6F99">
      <w:pPr>
        <w:pStyle w:val="Listenabsatz"/>
        <w:numPr>
          <w:ilvl w:val="0"/>
          <w:numId w:val="20"/>
        </w:numPr>
      </w:pPr>
      <w:r w:rsidRPr="00F41258">
        <w:t>Fachunternehmererklärung</w:t>
      </w:r>
    </w:p>
    <w:p w14:paraId="05940B85" w14:textId="016DE767" w:rsidR="00232CB1" w:rsidRPr="00F41258" w:rsidRDefault="00232CB1" w:rsidP="009B6F99">
      <w:pPr>
        <w:pStyle w:val="Listenabsatz"/>
        <w:numPr>
          <w:ilvl w:val="0"/>
          <w:numId w:val="20"/>
        </w:numPr>
      </w:pPr>
      <w:r w:rsidRPr="00F41258">
        <w:t>Vorhabenbezogene Rechnungen und Nachweise über die geleisteten Zahlungen, Aufstellung der förderfähigen Investitionsmaßnahmen und -kosten</w:t>
      </w:r>
    </w:p>
    <w:p w14:paraId="1B8A9E79" w14:textId="5FA00ABD" w:rsidR="00232CB1" w:rsidRPr="00F41258" w:rsidRDefault="00232CB1" w:rsidP="009B6F99">
      <w:pPr>
        <w:pStyle w:val="Listenabsatz"/>
        <w:numPr>
          <w:ilvl w:val="0"/>
          <w:numId w:val="20"/>
        </w:numPr>
      </w:pPr>
      <w:r w:rsidRPr="00F41258">
        <w:t xml:space="preserve">Herstellernachweise zu den produktspezifischen Kenndaten und Geräteeigenschaften. </w:t>
      </w:r>
    </w:p>
    <w:p w14:paraId="1428D2D8" w14:textId="55FE55A3" w:rsidR="00533E92" w:rsidRPr="00F41258" w:rsidRDefault="00533E92" w:rsidP="009B6F99">
      <w:pPr>
        <w:pStyle w:val="Listenabsatz"/>
        <w:numPr>
          <w:ilvl w:val="0"/>
          <w:numId w:val="20"/>
        </w:numPr>
      </w:pPr>
      <w:r w:rsidRPr="00F41258">
        <w:t>Die förderfähige</w:t>
      </w:r>
      <w:r w:rsidR="005067F3" w:rsidRPr="00F41258">
        <w:t>n</w:t>
      </w:r>
      <w:r w:rsidRPr="00F41258">
        <w:t xml:space="preserve"> innovativen Heizungsanlagen sind in einer Anlagenliste aufgeführt, die von den Durchführern fortlaufend aktualisiert und veröffentlicht wird. Heizungsanlagen, die nicht auf dieser Anlagenliste geführt sind, sind nicht als „Innovative Heiztechnik auf Basis erneuerbarer Energien“ förderfähig.</w:t>
      </w:r>
    </w:p>
    <w:p w14:paraId="1C992CFE" w14:textId="33258C2F" w:rsidR="00232CB1" w:rsidRPr="00F41258" w:rsidRDefault="00AB078D" w:rsidP="00583FF0">
      <w:pPr>
        <w:pStyle w:val="berschrift2"/>
      </w:pPr>
      <w:bookmarkStart w:id="249" w:name="_Toc112915726"/>
      <w:bookmarkStart w:id="250" w:name="_Hlk81468016"/>
      <w:bookmarkStart w:id="251" w:name="_Hlk77763046"/>
      <w:bookmarkStart w:id="252" w:name="_Toc144908092"/>
      <w:r w:rsidRPr="00F41258">
        <w:t xml:space="preserve">Errichtung, Umbau und Erweiterung eines </w:t>
      </w:r>
      <w:r w:rsidR="00232CB1" w:rsidRPr="00F41258">
        <w:t>Gebäudenetze</w:t>
      </w:r>
      <w:bookmarkEnd w:id="252"/>
      <w:r w:rsidR="00232CB1" w:rsidRPr="00F41258">
        <w:t xml:space="preserve"> </w:t>
      </w:r>
      <w:bookmarkEnd w:id="249"/>
    </w:p>
    <w:p w14:paraId="6397F84C" w14:textId="568A3658" w:rsidR="00D4729F" w:rsidRPr="00F41258" w:rsidRDefault="00D4729F" w:rsidP="00EB6174">
      <w:pPr>
        <w:pStyle w:val="berschrift3"/>
      </w:pPr>
      <w:bookmarkStart w:id="253" w:name="_Toc144908093"/>
      <w:r w:rsidRPr="00F41258">
        <w:t>Anforderungen</w:t>
      </w:r>
      <w:bookmarkEnd w:id="253"/>
    </w:p>
    <w:p w14:paraId="3B5FCAD7" w14:textId="0F53B2FA" w:rsidR="00232CB1" w:rsidRPr="00F41258" w:rsidRDefault="00232CB1" w:rsidP="00583FF0">
      <w:r w:rsidRPr="00F41258">
        <w:t xml:space="preserve">Gefördert wird die Errichtung, der Umbau oder die Erweiterung eines Gebäudenetzes, sofern </w:t>
      </w:r>
      <w:bookmarkStart w:id="254" w:name="_Hlk77182110"/>
      <w:r w:rsidRPr="00F41258">
        <w:t xml:space="preserve">die Wärmeerzeugung, mit der das Gebäudenetz gespeist wird, nach Durchführung </w:t>
      </w:r>
      <w:r w:rsidRPr="00F41258">
        <w:lastRenderedPageBreak/>
        <w:t xml:space="preserve">der Maßnahme zu </w:t>
      </w:r>
      <w:r w:rsidR="009F5D62" w:rsidRPr="00F41258">
        <w:t>mindestens 65</w:t>
      </w:r>
      <w:r w:rsidR="00F97655" w:rsidRPr="00F41258">
        <w:t> </w:t>
      </w:r>
      <w:r w:rsidR="009F5D62" w:rsidRPr="00F41258">
        <w:t xml:space="preserve">% </w:t>
      </w:r>
      <w:r w:rsidRPr="00F41258">
        <w:t xml:space="preserve">aus </w:t>
      </w:r>
      <w:r w:rsidR="001162F3" w:rsidRPr="00F41258">
        <w:t xml:space="preserve">Anlagen nach </w:t>
      </w:r>
      <w:r w:rsidR="0029777B" w:rsidRPr="00F41258">
        <w:t xml:space="preserve">BEG EM </w:t>
      </w:r>
      <w:hyperlink w:anchor="_Solarthermische_AnlagenSolarkollekt" w:history="1">
        <w:r w:rsidR="0029777B" w:rsidRPr="00F41258">
          <w:rPr>
            <w:rStyle w:val="Hyperlink"/>
          </w:rPr>
          <w:t>TMA Nummern 3.2</w:t>
        </w:r>
      </w:hyperlink>
      <w:r w:rsidR="0029777B" w:rsidRPr="00F41258">
        <w:t xml:space="preserve"> bis </w:t>
      </w:r>
      <w:hyperlink w:anchor="_Innovative_Heiztechnik_auf" w:history="1">
        <w:r w:rsidR="0029777B" w:rsidRPr="00F41258">
          <w:rPr>
            <w:rStyle w:val="Hyperlink"/>
          </w:rPr>
          <w:t>3.</w:t>
        </w:r>
        <w:r w:rsidR="0022030C" w:rsidRPr="00F41258">
          <w:rPr>
            <w:rStyle w:val="Hyperlink"/>
          </w:rPr>
          <w:t>8</w:t>
        </w:r>
      </w:hyperlink>
      <w:r w:rsidR="0029777B" w:rsidRPr="00F41258">
        <w:t xml:space="preserve"> </w:t>
      </w:r>
      <w:r w:rsidRPr="00F41258">
        <w:t>und/oder unvermeidbarer Abwärme erfolgt</w:t>
      </w:r>
      <w:bookmarkEnd w:id="254"/>
      <w:r w:rsidR="00F77B64" w:rsidRPr="00F41258">
        <w:t>. Förderfähig sind</w:t>
      </w:r>
      <w:r w:rsidRPr="00F41258">
        <w:t xml:space="preserve"> folgende Komponenten:</w:t>
      </w:r>
    </w:p>
    <w:p w14:paraId="64F56748" w14:textId="013BC062" w:rsidR="00232CB1" w:rsidRPr="00F41258" w:rsidRDefault="00232CB1" w:rsidP="009B6F99">
      <w:pPr>
        <w:pStyle w:val="Listenabsatz"/>
        <w:numPr>
          <w:ilvl w:val="0"/>
          <w:numId w:val="25"/>
        </w:numPr>
      </w:pPr>
      <w:r w:rsidRPr="00F41258">
        <w:t xml:space="preserve">Wärmeverteilung, </w:t>
      </w:r>
    </w:p>
    <w:p w14:paraId="35881271" w14:textId="6CF0E8DA" w:rsidR="00232CB1" w:rsidRPr="00F41258" w:rsidRDefault="00232CB1" w:rsidP="009B6F99">
      <w:pPr>
        <w:pStyle w:val="Listenabsatz"/>
        <w:numPr>
          <w:ilvl w:val="0"/>
          <w:numId w:val="25"/>
        </w:numPr>
      </w:pPr>
      <w:r w:rsidRPr="00F41258">
        <w:rPr>
          <w:spacing w:val="3"/>
        </w:rPr>
        <w:t xml:space="preserve">ggf. </w:t>
      </w:r>
      <w:r w:rsidRPr="00F41258">
        <w:t xml:space="preserve">Wärmeerzeugung nach </w:t>
      </w:r>
      <w:r w:rsidR="00C209DE" w:rsidRPr="00F41258">
        <w:t xml:space="preserve">BEG EM </w:t>
      </w:r>
      <w:hyperlink w:anchor="_Solarthermische_AnlagenSolarkollekt" w:history="1">
        <w:r w:rsidR="00927C7E" w:rsidRPr="00F41258">
          <w:rPr>
            <w:rStyle w:val="Hyperlink"/>
          </w:rPr>
          <w:t xml:space="preserve">TMA </w:t>
        </w:r>
        <w:r w:rsidRPr="00F41258">
          <w:rPr>
            <w:rStyle w:val="Hyperlink"/>
          </w:rPr>
          <w:t>Nummern 3.2</w:t>
        </w:r>
      </w:hyperlink>
      <w:r w:rsidRPr="00F41258">
        <w:t xml:space="preserve"> bis </w:t>
      </w:r>
      <w:hyperlink w:anchor="_Innovative_Heiztechnik_auf" w:history="1">
        <w:r w:rsidRPr="00F41258">
          <w:rPr>
            <w:rStyle w:val="Hyperlink"/>
          </w:rPr>
          <w:t>3.</w:t>
        </w:r>
        <w:r w:rsidR="0022030C" w:rsidRPr="00F41258">
          <w:rPr>
            <w:rStyle w:val="Hyperlink"/>
          </w:rPr>
          <w:t>8</w:t>
        </w:r>
      </w:hyperlink>
      <w:r w:rsidR="00816961" w:rsidRPr="00F41258">
        <w:t>,</w:t>
      </w:r>
      <w:r w:rsidR="00816961" w:rsidRPr="00F41258">
        <w:t xml:space="preserve"> </w:t>
      </w:r>
    </w:p>
    <w:p w14:paraId="4038585C" w14:textId="6FF64B3A" w:rsidR="00232CB1" w:rsidRPr="00F41258" w:rsidRDefault="00232CB1" w:rsidP="009B6F99">
      <w:pPr>
        <w:pStyle w:val="Listenabsatz"/>
        <w:numPr>
          <w:ilvl w:val="0"/>
          <w:numId w:val="25"/>
        </w:numPr>
      </w:pPr>
      <w:r w:rsidRPr="00F41258">
        <w:rPr>
          <w:spacing w:val="3"/>
        </w:rPr>
        <w:t xml:space="preserve">ggf. </w:t>
      </w:r>
      <w:r w:rsidRPr="00F41258">
        <w:t>Wärmespeicherung,</w:t>
      </w:r>
    </w:p>
    <w:p w14:paraId="4CA29D0F" w14:textId="58C76218" w:rsidR="00232CB1" w:rsidRPr="00F41258" w:rsidRDefault="00232CB1" w:rsidP="009B6F99">
      <w:pPr>
        <w:pStyle w:val="Listenabsatz"/>
        <w:numPr>
          <w:ilvl w:val="0"/>
          <w:numId w:val="25"/>
        </w:numPr>
      </w:pPr>
      <w:r w:rsidRPr="00F41258">
        <w:t>ggf. Steuer-, Mess- und Regelungstechnik, sowie</w:t>
      </w:r>
    </w:p>
    <w:p w14:paraId="157027E9" w14:textId="642DBEED" w:rsidR="00232CB1" w:rsidRPr="00F41258" w:rsidRDefault="00232CB1" w:rsidP="009B6F99">
      <w:pPr>
        <w:pStyle w:val="Listenabsatz"/>
        <w:numPr>
          <w:ilvl w:val="0"/>
          <w:numId w:val="25"/>
        </w:numPr>
      </w:pPr>
      <w:r w:rsidRPr="00F41258">
        <w:t>ggf. Wärmeübergabestationen.</w:t>
      </w:r>
    </w:p>
    <w:p w14:paraId="4A026FC6" w14:textId="7121F1AC" w:rsidR="00C209DE" w:rsidRPr="00F41258" w:rsidRDefault="00C65B6C" w:rsidP="00C209DE">
      <w:r w:rsidRPr="00F41258">
        <w:t xml:space="preserve">Der </w:t>
      </w:r>
      <w:r w:rsidR="006A6D9A" w:rsidRPr="00F41258">
        <w:t xml:space="preserve">Anteil der Wärmeerzeugung </w:t>
      </w:r>
      <w:r w:rsidRPr="00F41258">
        <w:t xml:space="preserve">aus Anlagen nach BEG EM </w:t>
      </w:r>
      <w:hyperlink w:anchor="_Solarthermische_AnlagenSolarkollekt" w:history="1">
        <w:r w:rsidRPr="00F41258">
          <w:rPr>
            <w:rStyle w:val="Hyperlink"/>
          </w:rPr>
          <w:t>TMA Nummern 3.2</w:t>
        </w:r>
      </w:hyperlink>
      <w:r w:rsidRPr="00F41258">
        <w:t xml:space="preserve"> </w:t>
      </w:r>
      <w:r w:rsidR="006A6D9A" w:rsidRPr="00F41258">
        <w:t xml:space="preserve">oder </w:t>
      </w:r>
      <w:hyperlink w:anchor="_Elektrisch_angetriebene_Wärmepumpen_1" w:history="1">
        <w:r w:rsidR="006A6D9A" w:rsidRPr="00F41258">
          <w:rPr>
            <w:rStyle w:val="Hyperlink"/>
          </w:rPr>
          <w:t>3.4</w:t>
        </w:r>
      </w:hyperlink>
      <w:r w:rsidR="006A6D9A" w:rsidRPr="00F41258">
        <w:t xml:space="preserve"> </w:t>
      </w:r>
      <w:r w:rsidRPr="00F41258">
        <w:t xml:space="preserve">bis </w:t>
      </w:r>
      <w:hyperlink w:anchor="_Innovative_Heiztechnik_auf" w:history="1">
        <w:r w:rsidR="0022030C" w:rsidRPr="00F41258">
          <w:rPr>
            <w:rStyle w:val="Hyperlink"/>
          </w:rPr>
          <w:t>3.8</w:t>
        </w:r>
      </w:hyperlink>
      <w:r w:rsidRPr="00F41258">
        <w:t xml:space="preserve"> und/oder unvermeidbarer Abwärme</w:t>
      </w:r>
      <w:r w:rsidR="00F97655" w:rsidRPr="00F41258">
        <w:t xml:space="preserve"> beträgt mindestens 25 %. Der Anteil der Wärmeerzeugung aus Biomasseheizungen ist somit auf maximal 75 % begrenzt. </w:t>
      </w:r>
    </w:p>
    <w:p w14:paraId="4A0720C6" w14:textId="566EF496" w:rsidR="00232CB1" w:rsidRPr="00F41258" w:rsidRDefault="00232CB1" w:rsidP="00583FF0">
      <w:r w:rsidRPr="00F41258">
        <w:t>Alle Energieverbräuche sowie alle erzeugten Wärmemengen eines förderfähigen Gebäudenetzes müssen messtechnisch erfasst werden. Alle förderfähigen Gebäudenetze müssen mit einer Energieverbrauchs- und Effizienzanzeige ausgestattet sein. Ausnahmen: Bei Biomasseheizungen in förderfähigen Gebäudenetzen müssen lediglich die erzeugten Wärmemengen gemessen werden</w:t>
      </w:r>
      <w:r w:rsidR="00AD224D" w:rsidRPr="00F41258">
        <w:t>, e</w:t>
      </w:r>
      <w:r w:rsidRPr="00F41258">
        <w:t>ine Effizienzanzeigepflicht besteht ab 1. Januar 2025.</w:t>
      </w:r>
    </w:p>
    <w:p w14:paraId="0E0B2BCA" w14:textId="5FF97FCA" w:rsidR="00232CB1" w:rsidRPr="00F41258" w:rsidRDefault="00232CB1" w:rsidP="00EB6174">
      <w:pPr>
        <w:pStyle w:val="berschrift3"/>
      </w:pPr>
      <w:bookmarkStart w:id="255" w:name="_Toc144908094"/>
      <w:bookmarkEnd w:id="250"/>
      <w:r w:rsidRPr="00F41258">
        <w:t>Nachweise</w:t>
      </w:r>
      <w:bookmarkEnd w:id="255"/>
    </w:p>
    <w:p w14:paraId="5D9BA57E" w14:textId="39AAA895" w:rsidR="00232CB1" w:rsidRPr="00F41258" w:rsidRDefault="00232CB1" w:rsidP="009B6F99">
      <w:pPr>
        <w:pStyle w:val="Listenabsatz"/>
        <w:numPr>
          <w:ilvl w:val="0"/>
          <w:numId w:val="21"/>
        </w:numPr>
      </w:pPr>
      <w:r w:rsidRPr="00F41258">
        <w:t>Bilanzierung und Nachweis, des Anteils erneuerbarer Energien und/oder unvermeidbare Abwärme</w:t>
      </w:r>
      <w:r w:rsidR="00E11B54" w:rsidRPr="00F41258">
        <w:t xml:space="preserve"> in Gebäudenetzen</w:t>
      </w:r>
      <w:r w:rsidRPr="00F41258">
        <w:t xml:space="preserve"> erfolgt in Anlehnung an DIN V 18599 bzw. in Anlehnung an das AGFW-Arbeitsblatt FW 309 Teil 5 zusammen mit der dazugehörigen Musterbescheinigung nach FW 309 Teil 7 </w:t>
      </w:r>
    </w:p>
    <w:p w14:paraId="334F7CB6" w14:textId="712A3CD7" w:rsidR="00232CB1" w:rsidRPr="00F41258" w:rsidRDefault="00232CB1" w:rsidP="009B6F99">
      <w:pPr>
        <w:pStyle w:val="Listenabsatz"/>
        <w:numPr>
          <w:ilvl w:val="0"/>
          <w:numId w:val="21"/>
        </w:numPr>
      </w:pPr>
      <w:r w:rsidRPr="00F41258">
        <w:t xml:space="preserve">Bestätigung des </w:t>
      </w:r>
      <w:r w:rsidR="00E72113" w:rsidRPr="00F41258">
        <w:t xml:space="preserve">Energieeffizienz-Experten </w:t>
      </w:r>
      <w:r w:rsidRPr="00F41258">
        <w:t>über den geforderten Mindestanteil erneuerbarer Energie und/oder unvermeidbarer Abwärme</w:t>
      </w:r>
      <w:r w:rsidR="00E72113" w:rsidRPr="00F41258">
        <w:t xml:space="preserve"> im Gebäudenetz</w:t>
      </w:r>
      <w:r w:rsidRPr="00F41258">
        <w:t xml:space="preserve"> </w:t>
      </w:r>
    </w:p>
    <w:p w14:paraId="55A5DB4F" w14:textId="77777777" w:rsidR="00A42585" w:rsidRPr="00F41258" w:rsidRDefault="00A42585" w:rsidP="009B6F99">
      <w:pPr>
        <w:pStyle w:val="Listenabsatz"/>
        <w:numPr>
          <w:ilvl w:val="0"/>
          <w:numId w:val="21"/>
        </w:numPr>
      </w:pPr>
      <w:r w:rsidRPr="00F41258">
        <w:t>Bestätigung eines Experten der Energieeffizienz-Experten-Liste (</w:t>
      </w:r>
      <w:hyperlink r:id="rId25" w:tooltip="http://www.energie-effizienz-experten.de" w:history="1">
        <w:r w:rsidRPr="00F41258">
          <w:rPr>
            <w:u w:val="single"/>
          </w:rPr>
          <w:t>www.energie-effizienz-experten.de</w:t>
        </w:r>
      </w:hyperlink>
      <w:r w:rsidRPr="00F41258">
        <w:t>)</w:t>
      </w:r>
    </w:p>
    <w:p w14:paraId="7D0510F9" w14:textId="6C72ADC5" w:rsidR="003C4243" w:rsidRPr="00F41258" w:rsidRDefault="00232CB1" w:rsidP="009B6F99">
      <w:pPr>
        <w:pStyle w:val="Listenabsatz"/>
        <w:numPr>
          <w:ilvl w:val="0"/>
          <w:numId w:val="21"/>
        </w:numPr>
      </w:pPr>
      <w:r w:rsidRPr="00F41258">
        <w:t>Vorhabenbezogene Rechnungen und Nachweise über die geleisteten Zahlungen, Aufstellung der förderfähigen Investitionsmaßnahmen und -kosten</w:t>
      </w:r>
    </w:p>
    <w:p w14:paraId="5B0C2919" w14:textId="7CF50260" w:rsidR="003C4243" w:rsidRPr="00F41258" w:rsidRDefault="003C4243" w:rsidP="003C4243">
      <w:pPr>
        <w:pStyle w:val="berschrift2"/>
      </w:pPr>
      <w:bookmarkStart w:id="256" w:name="_Toc144908095"/>
      <w:r w:rsidRPr="00F41258">
        <w:t>Anschluss an ein Gebäude</w:t>
      </w:r>
      <w:r w:rsidR="00A11C27" w:rsidRPr="00F41258">
        <w:t>-</w:t>
      </w:r>
      <w:r w:rsidRPr="00F41258">
        <w:t xml:space="preserve"> oder Wärmenetz</w:t>
      </w:r>
      <w:bookmarkEnd w:id="256"/>
    </w:p>
    <w:p w14:paraId="7C918AA8" w14:textId="0B56DF6D" w:rsidR="003C4243" w:rsidRPr="00F41258" w:rsidRDefault="003C4243" w:rsidP="00EB6174">
      <w:pPr>
        <w:pStyle w:val="berschrift3"/>
      </w:pPr>
      <w:bookmarkStart w:id="257" w:name="_Toc144908096"/>
      <w:r w:rsidRPr="00F41258">
        <w:t>Anforderungen</w:t>
      </w:r>
      <w:bookmarkEnd w:id="257"/>
    </w:p>
    <w:p w14:paraId="25DE53FC" w14:textId="12CFAA52" w:rsidR="00AB078D" w:rsidRPr="00F41258" w:rsidRDefault="003C4243" w:rsidP="003C4243">
      <w:r w:rsidRPr="00F41258">
        <w:t>Gefördert wird der Anschluss bzw. die Erneuerung eines Netzanschlusses an ein Gebäudenetz, wenn dessen Wärmeerzeugung zu einem Anteil von mindestens 25 % durch erneuerbare Energien und/oder unvermeidbare Abwärme erfolgt oder an ein Wärmenetz</w:t>
      </w:r>
      <w:r w:rsidR="00AB078D" w:rsidRPr="00F41258">
        <w:t>.</w:t>
      </w:r>
    </w:p>
    <w:p w14:paraId="225D28A0" w14:textId="18D7A5FB" w:rsidR="003C4243" w:rsidRPr="00F41258" w:rsidRDefault="003C4243" w:rsidP="00EB6174">
      <w:pPr>
        <w:pStyle w:val="berschrift3"/>
      </w:pPr>
      <w:bookmarkStart w:id="258" w:name="_Toc144908097"/>
      <w:r w:rsidRPr="00F41258">
        <w:t>Nachweise</w:t>
      </w:r>
      <w:bookmarkEnd w:id="258"/>
    </w:p>
    <w:p w14:paraId="6AEC4269" w14:textId="77777777" w:rsidR="003C4243" w:rsidRPr="00F41258" w:rsidRDefault="003C4243" w:rsidP="009B6F99">
      <w:pPr>
        <w:pStyle w:val="Listenabsatz"/>
        <w:numPr>
          <w:ilvl w:val="0"/>
          <w:numId w:val="21"/>
        </w:numPr>
      </w:pPr>
      <w:r w:rsidRPr="00F41258">
        <w:t xml:space="preserve">Bilanzierung und Nachweis, des Anteils erneuerbarer Energien und/oder unvermeidbare Abwärme in Gebäudenetzen erfolgt in Anlehnung an DIN V 18599 bzw. in Anlehnung an das AGFW-Arbeitsblatt FW 309 Teil 5 zusammen mit der dazugehörigen Musterbescheinigung nach FW 309 Teil 7 </w:t>
      </w:r>
    </w:p>
    <w:p w14:paraId="04BCB082" w14:textId="48E472B2" w:rsidR="003C4243" w:rsidRPr="00F41258" w:rsidRDefault="003C4243" w:rsidP="009B6F99">
      <w:pPr>
        <w:pStyle w:val="Listenabsatz"/>
        <w:numPr>
          <w:ilvl w:val="0"/>
          <w:numId w:val="21"/>
        </w:numPr>
      </w:pPr>
      <w:r w:rsidRPr="00F41258">
        <w:t xml:space="preserve">Bestätigung des </w:t>
      </w:r>
      <w:r w:rsidR="00A42585" w:rsidRPr="00F41258">
        <w:t>Fachunternehmers</w:t>
      </w:r>
      <w:r w:rsidRPr="00F41258">
        <w:t xml:space="preserve"> über den geforderten Mindestanteil erneuerbarer Energie und/oder unvermeidbarer Abwärme im Gebäudenetz </w:t>
      </w:r>
    </w:p>
    <w:p w14:paraId="7F10FED0" w14:textId="5F694A28" w:rsidR="00A42585" w:rsidRPr="00F41258" w:rsidRDefault="00A42585" w:rsidP="009B6F99">
      <w:pPr>
        <w:pStyle w:val="Listenabsatz"/>
        <w:numPr>
          <w:ilvl w:val="0"/>
          <w:numId w:val="21"/>
        </w:numPr>
      </w:pPr>
      <w:r w:rsidRPr="00F41258">
        <w:t>Fachunternehmerklärung</w:t>
      </w:r>
    </w:p>
    <w:p w14:paraId="75F970FC" w14:textId="1820A717" w:rsidR="003C4243" w:rsidRPr="00F41258" w:rsidRDefault="003C4243" w:rsidP="009B6F99">
      <w:pPr>
        <w:pStyle w:val="Listenabsatz"/>
        <w:numPr>
          <w:ilvl w:val="0"/>
          <w:numId w:val="21"/>
        </w:numPr>
      </w:pPr>
      <w:r w:rsidRPr="00F41258">
        <w:lastRenderedPageBreak/>
        <w:t>Vorhabenbezogene Rechnungen und Nachweise über die geleisteten Zahlungen, Aufstellung der förderfähigen Investitionsmaßnahmen und -kosten</w:t>
      </w:r>
    </w:p>
    <w:p w14:paraId="717438D7" w14:textId="4DA61470" w:rsidR="00232CB1" w:rsidRPr="00F41258" w:rsidRDefault="00232CB1" w:rsidP="00583FF0">
      <w:pPr>
        <w:pStyle w:val="berschrift1"/>
      </w:pPr>
      <w:bookmarkStart w:id="259" w:name="_Toc112915727"/>
      <w:bookmarkStart w:id="260" w:name="_Toc144908098"/>
      <w:bookmarkEnd w:id="251"/>
      <w:r w:rsidRPr="00F41258">
        <w:t>Heizungsoptimierung</w:t>
      </w:r>
      <w:bookmarkEnd w:id="259"/>
      <w:bookmarkEnd w:id="260"/>
    </w:p>
    <w:p w14:paraId="12B57676" w14:textId="0D69F570" w:rsidR="00232CB1" w:rsidRPr="00F41258" w:rsidRDefault="00232CB1" w:rsidP="00583FF0">
      <w:r w:rsidRPr="00F41258">
        <w:t>Gefördert wird die Optimierung von Heizungsanlagen, die älter als zwei</w:t>
      </w:r>
      <w:r w:rsidR="000D54F5" w:rsidRPr="00F41258">
        <w:t xml:space="preserve"> und </w:t>
      </w:r>
      <w:r w:rsidR="00AB078D" w:rsidRPr="00F41258">
        <w:t xml:space="preserve">bei mit fossilen Brennstoffen betriebenen Heizungsanlagen </w:t>
      </w:r>
      <w:r w:rsidR="000D54F5" w:rsidRPr="00F41258">
        <w:t xml:space="preserve">nicht älter als </w:t>
      </w:r>
      <w:r w:rsidR="00AB078D" w:rsidRPr="00F41258">
        <w:t>zwanzig</w:t>
      </w:r>
      <w:r w:rsidRPr="00F41258">
        <w:t xml:space="preserve"> Jahre sind.</w:t>
      </w:r>
    </w:p>
    <w:p w14:paraId="568E4523" w14:textId="4E9A53E2" w:rsidR="00232CB1" w:rsidRPr="00F41258" w:rsidRDefault="00232CB1" w:rsidP="00583FF0">
      <w:r w:rsidRPr="00F41258">
        <w:t>Gefördert wird die Umsetzung aller Maßnahmen zur Verbesserung der Energieeffizienz am Heizsystem</w:t>
      </w:r>
      <w:r w:rsidR="007627FF" w:rsidRPr="00F41258">
        <w:t xml:space="preserve"> sowie die geringinvestive Umstellung von </w:t>
      </w:r>
      <w:r w:rsidR="008B382D" w:rsidRPr="00F41258">
        <w:t>wasserstofffähigen</w:t>
      </w:r>
      <w:r w:rsidR="007627FF" w:rsidRPr="00F41258">
        <w:t xml:space="preserve"> Heizungen auf den 100 % Wasserstoffbetrieb</w:t>
      </w:r>
      <w:r w:rsidRPr="00F41258">
        <w:t>, soweit sich aus den nachfolgenden Sätzen keine Einschränkungen ergeben.</w:t>
      </w:r>
    </w:p>
    <w:p w14:paraId="2AFF395E" w14:textId="1190F067" w:rsidR="00232CB1" w:rsidRPr="00F41258" w:rsidRDefault="00232CB1" w:rsidP="00583FF0">
      <w:r w:rsidRPr="00F41258">
        <w:t>Die Förderung der Heizungsoptimierung bei wassergeführten Heizungssystemen setzt ein hydraulisch abgeglichenes Heizungssystem voraus. Sofern ein Heizungssystem nicht abgeglichen ist, muss ein hydraulischer Abgleich nach Verfahren B gemäß aktuellem Bestätigungsformular des hydraulischen Abgleichs sowie der zugehörigen Fachregel de</w:t>
      </w:r>
      <w:r w:rsidR="000D54F5" w:rsidRPr="00F41258">
        <w:t>r „</w:t>
      </w:r>
      <w:proofErr w:type="spellStart"/>
      <w:r w:rsidR="000D54F5" w:rsidRPr="00F41258">
        <w:t>VdZ</w:t>
      </w:r>
      <w:proofErr w:type="spellEnd"/>
      <w:r w:rsidR="000D54F5" w:rsidRPr="00F41258">
        <w:t xml:space="preserve"> - </w:t>
      </w:r>
      <w:r w:rsidR="000D54F5" w:rsidRPr="00F41258">
        <w:rPr>
          <w:color w:val="212529"/>
          <w:shd w:val="clear" w:color="auto" w:fill="FFFFFF"/>
        </w:rPr>
        <w:t>Wirtschaftsvereinigung Gebäude und Energie e.V.“</w:t>
      </w:r>
      <w:r w:rsidR="00DB3CF2" w:rsidRPr="00F41258">
        <w:t xml:space="preserve"> </w:t>
      </w:r>
      <w:r w:rsidRPr="00F41258">
        <w:t>(</w:t>
      </w:r>
      <w:r w:rsidRPr="00F41258">
        <w:rPr>
          <w:u w:val="single"/>
        </w:rPr>
        <w:t>www.vdzev.de/broschueren/formulare-hydraulischer-abgleich)</w:t>
      </w:r>
      <w:r w:rsidRPr="00F41258">
        <w:t xml:space="preserve"> durchgeführt werden. Weiterhin ist bei luftheizenden Systemen in der Fachunternehmererklärung zu bestätigen, dass die Luftvolumenströme gemäß den rechnerisch ermittelten Einstellwerten einreguliert wurden. </w:t>
      </w:r>
    </w:p>
    <w:p w14:paraId="1C4882F9" w14:textId="77777777" w:rsidR="00232CB1" w:rsidRPr="00F41258" w:rsidRDefault="00232CB1" w:rsidP="00583FF0">
      <w:r w:rsidRPr="00F41258">
        <w:t>Förderfähige Pumpen müssen mindestens folgende Anforderungen erfüllen:</w:t>
      </w:r>
    </w:p>
    <w:p w14:paraId="24D54A4C" w14:textId="6ED8589A" w:rsidR="00232CB1" w:rsidRPr="00F41258" w:rsidRDefault="00232CB1" w:rsidP="009B6F99">
      <w:pPr>
        <w:pStyle w:val="Listenabsatz"/>
        <w:numPr>
          <w:ilvl w:val="0"/>
          <w:numId w:val="21"/>
        </w:numPr>
      </w:pPr>
      <w:r w:rsidRPr="00F41258">
        <w:t>Nassläufer-Umwälzpumpen: Energieeffizienzindex EEI ≤ 0,2 gemäß Verordnung (EU) Nr. 641/2009 in geltender Fassung</w:t>
      </w:r>
    </w:p>
    <w:p w14:paraId="25901629" w14:textId="11B73DE8" w:rsidR="00232CB1" w:rsidRPr="00F41258" w:rsidRDefault="00232CB1" w:rsidP="009B6F99">
      <w:pPr>
        <w:pStyle w:val="Listenabsatz"/>
        <w:numPr>
          <w:ilvl w:val="0"/>
          <w:numId w:val="21"/>
        </w:numPr>
      </w:pPr>
      <w:r w:rsidRPr="00F41258">
        <w:t>Trinkwarmwasser-Zirkulationspumpen: Energieeffizienzindex EEI ≤ 0,2 in Anlehnung an Verordnung (EU) Nr. 641/2009 in geltender Fassung</w:t>
      </w:r>
    </w:p>
    <w:p w14:paraId="23AEE07D" w14:textId="0606C3CF" w:rsidR="00232CB1" w:rsidRPr="00F41258" w:rsidRDefault="00232CB1" w:rsidP="009B6F99">
      <w:pPr>
        <w:pStyle w:val="Listenabsatz"/>
        <w:numPr>
          <w:ilvl w:val="0"/>
          <w:numId w:val="21"/>
        </w:numPr>
      </w:pPr>
      <w:r w:rsidRPr="00F41258">
        <w:t>Trockenläufer-Umwälzpumpen: Elektromotor der Klasse IE4 und Pumpeneffizienz MEI ≥ 0,6 gemäß Verordnung (EU) Nr. 547/2012</w:t>
      </w:r>
    </w:p>
    <w:p w14:paraId="06E6DABA" w14:textId="62C775CE" w:rsidR="00232CB1" w:rsidRPr="00F41258" w:rsidRDefault="00232CB1" w:rsidP="009B6F99">
      <w:pPr>
        <w:pStyle w:val="Listenabsatz"/>
        <w:numPr>
          <w:ilvl w:val="0"/>
          <w:numId w:val="21"/>
        </w:numPr>
      </w:pPr>
      <w:r w:rsidRPr="00F41258">
        <w:t>Nicht förderfähig innerhalb der Maßnahme „Heizungsoptimierung“ ist der Einbau bzw. Austausch von Wärmeerzeugern.</w:t>
      </w:r>
    </w:p>
    <w:p w14:paraId="6161D7B4" w14:textId="77777777" w:rsidR="00232CB1" w:rsidRPr="00F41258" w:rsidRDefault="00232CB1" w:rsidP="00583FF0">
      <w:r w:rsidRPr="00F41258">
        <w:t>Anlagen zur Trinkwarmwassererwärmung (z. B. solarthermische Warmwasserbereitung) sind Bestandteil der Heizungsanlage.</w:t>
      </w:r>
    </w:p>
    <w:p w14:paraId="2B26C642" w14:textId="2B3595F9" w:rsidR="00232CB1" w:rsidRPr="00F41258" w:rsidRDefault="00232CB1" w:rsidP="00EB6174">
      <w:pPr>
        <w:pStyle w:val="berschrift2"/>
      </w:pPr>
      <w:bookmarkStart w:id="261" w:name="_Toc144908103"/>
      <w:r w:rsidRPr="00F41258">
        <w:t>Erforderliche und aufzubewahrende Nachweise</w:t>
      </w:r>
      <w:bookmarkEnd w:id="261"/>
    </w:p>
    <w:p w14:paraId="0990933E" w14:textId="1BBB6F93" w:rsidR="00232CB1" w:rsidRPr="00F41258" w:rsidRDefault="00232CB1" w:rsidP="009B6F99">
      <w:pPr>
        <w:pStyle w:val="Listenabsatz"/>
        <w:numPr>
          <w:ilvl w:val="0"/>
          <w:numId w:val="22"/>
        </w:numPr>
      </w:pPr>
      <w:r w:rsidRPr="00F41258">
        <w:t>Herstellernachweise zu den Produktmerkmalen entsprechend der oben beschriebenen Funktionen der jeweils eingesetzten Technik</w:t>
      </w:r>
    </w:p>
    <w:p w14:paraId="0A6D6D05" w14:textId="2FACEF51" w:rsidR="00232CB1" w:rsidRPr="00F41258" w:rsidRDefault="00232CB1" w:rsidP="009B6F99">
      <w:pPr>
        <w:pStyle w:val="Listenabsatz"/>
        <w:numPr>
          <w:ilvl w:val="0"/>
          <w:numId w:val="22"/>
        </w:numPr>
      </w:pPr>
      <w:r w:rsidRPr="00F41258">
        <w:t>Bestätigung der oben beschriebenen Funktionen oder Eigenschaften der jeweils eingesetzten Technik (z. B. Fachunternehmererklärung)</w:t>
      </w:r>
    </w:p>
    <w:p w14:paraId="22FC14D6" w14:textId="4AA55453" w:rsidR="00232CB1" w:rsidRPr="00F41258" w:rsidRDefault="00232CB1" w:rsidP="009B6F99">
      <w:pPr>
        <w:pStyle w:val="Listenabsatz"/>
        <w:numPr>
          <w:ilvl w:val="0"/>
          <w:numId w:val="22"/>
        </w:numPr>
      </w:pPr>
      <w:r w:rsidRPr="00F41258">
        <w:t xml:space="preserve">Bestätigung eines Fachunternehmens über die Durchführung des hydraulischen Abgleichs unter Verwendung des Bestätigungsformulars für Einzelmaßnahmen </w:t>
      </w:r>
      <w:r w:rsidR="00DB3CF2" w:rsidRPr="00F41258">
        <w:t>der „</w:t>
      </w:r>
      <w:proofErr w:type="spellStart"/>
      <w:r w:rsidR="00DB3CF2" w:rsidRPr="00F41258">
        <w:t>VdZ</w:t>
      </w:r>
      <w:proofErr w:type="spellEnd"/>
      <w:r w:rsidR="00DB3CF2" w:rsidRPr="00F41258">
        <w:t xml:space="preserve"> − Wirtschaftsvereinigung Gebäude und Energie e.V.“ (www.vdzev.de/broschueren/formulare-hydraulischer-abgleich)</w:t>
      </w:r>
    </w:p>
    <w:p w14:paraId="3BB81C2D" w14:textId="0708814D" w:rsidR="00232CB1" w:rsidRPr="00F41258" w:rsidRDefault="00232CB1" w:rsidP="009B6F99">
      <w:pPr>
        <w:pStyle w:val="Listenabsatz"/>
        <w:numPr>
          <w:ilvl w:val="0"/>
          <w:numId w:val="22"/>
        </w:numPr>
      </w:pPr>
      <w:r w:rsidRPr="00F41258">
        <w:t>Vorhabenbezogene Rechnungen und Nachweise über die geleisteten Zahlungen, Aufstellung der förderfähigen Investitionsmaßnahmen und -kosten</w:t>
      </w:r>
    </w:p>
    <w:p w14:paraId="211DBA4C" w14:textId="776ADC8F" w:rsidR="00232CB1" w:rsidRPr="00F41258" w:rsidRDefault="00232CB1" w:rsidP="00583FF0">
      <w:pPr>
        <w:pStyle w:val="berschrift1"/>
      </w:pPr>
      <w:bookmarkStart w:id="262" w:name="_Toc112915728"/>
      <w:bookmarkStart w:id="263" w:name="_Toc144908104"/>
      <w:bookmarkStart w:id="264" w:name="_Hlk69473822"/>
      <w:r w:rsidRPr="00F41258">
        <w:t>Leistungen des Energieeffizienz-Experten und des Fachunternehmers</w:t>
      </w:r>
      <w:bookmarkEnd w:id="262"/>
      <w:bookmarkEnd w:id="263"/>
    </w:p>
    <w:p w14:paraId="0C80C82F" w14:textId="498C11A2" w:rsidR="00232CB1" w:rsidRPr="00F41258" w:rsidRDefault="00232CB1" w:rsidP="00583FF0">
      <w:pPr>
        <w:pStyle w:val="berschrift2"/>
      </w:pPr>
      <w:bookmarkStart w:id="265" w:name="_Toc112915729"/>
      <w:bookmarkStart w:id="266" w:name="_Toc144908105"/>
      <w:r w:rsidRPr="00F41258">
        <w:t>Leistungen des Energieeffizienz-Experten</w:t>
      </w:r>
      <w:bookmarkEnd w:id="265"/>
      <w:bookmarkEnd w:id="266"/>
    </w:p>
    <w:bookmarkEnd w:id="264"/>
    <w:p w14:paraId="438C6CFE" w14:textId="43A0DF73" w:rsidR="00232CB1" w:rsidRPr="00F41258" w:rsidRDefault="00232CB1" w:rsidP="00583FF0">
      <w:r w:rsidRPr="00F41258">
        <w:lastRenderedPageBreak/>
        <w:t xml:space="preserve">Der Energieeffizienz-Experte muss bei der energetischen Sanierung mit Einzelmaßnahmen mindestens folgende Leistungen im Rahmen der Begleitung der Baumaßnahme erbringen und deren programmgemäße Umsetzung bestätigen. Werden Teilleistungen durch Dritte, </w:t>
      </w:r>
      <w:r w:rsidR="00AD224D" w:rsidRPr="00F41258">
        <w:t>z. B.</w:t>
      </w:r>
      <w:r w:rsidRPr="00F41258">
        <w:t xml:space="preserve"> Fachplaner oder bauüberwachenden Architekten erbracht, sind diese vom Energieeffizienz-Experten im Rahmen seiner Gesamtverantwortung zu überprüfen. </w:t>
      </w:r>
    </w:p>
    <w:p w14:paraId="56A1BD2D" w14:textId="77777777" w:rsidR="00232CB1" w:rsidRPr="00F41258" w:rsidRDefault="00232CB1" w:rsidP="00583FF0">
      <w:r w:rsidRPr="00F41258">
        <w:t>Für alle Einzelmaßnahmen:</w:t>
      </w:r>
    </w:p>
    <w:p w14:paraId="15E355DF" w14:textId="1268DE0F" w:rsidR="00232CB1" w:rsidRPr="00F41258" w:rsidRDefault="00232CB1" w:rsidP="009B6F99">
      <w:pPr>
        <w:pStyle w:val="Listenabsatz"/>
        <w:numPr>
          <w:ilvl w:val="0"/>
          <w:numId w:val="23"/>
        </w:numPr>
      </w:pPr>
      <w:bookmarkStart w:id="267" w:name="_Hlk145592124"/>
      <w:r w:rsidRPr="00F41258">
        <w:t>In der "Bestätigung zum Antrag"/„gewerblichen Bestätigung zum Antrag“ bzw. der „technischen Projektbeschreibung“ die geplante energetische Maßnahme</w:t>
      </w:r>
      <w:r w:rsidR="002C4479" w:rsidRPr="00F41258">
        <w:t>, die zu erzielende THG-Minderung</w:t>
      </w:r>
      <w:r w:rsidRPr="00F41258">
        <w:t xml:space="preserve"> und die förderfähigen Kosten erklären sowie die Einhaltung der technischen Mindestanforderungen gemäß der BEG EM für diese Maßnahme bestätigen</w:t>
      </w:r>
    </w:p>
    <w:bookmarkEnd w:id="267"/>
    <w:p w14:paraId="4D61FC6A" w14:textId="77777777" w:rsidR="00232CB1" w:rsidRPr="00F41258" w:rsidRDefault="00232CB1" w:rsidP="009B6F99">
      <w:pPr>
        <w:pStyle w:val="Listenabsatz"/>
        <w:numPr>
          <w:ilvl w:val="0"/>
          <w:numId w:val="23"/>
        </w:numPr>
      </w:pPr>
      <w:r w:rsidRPr="00F41258">
        <w:t>Die mit der Maßnahme erreichte Verbesserung des energetischen Niveaus des Gebäudes im Sinne einer Erhöhung der Energieeffizienz oder des Anteils erneuerbarer Energien am Endenergieverbrauch des Gebäudes bestätigen.</w:t>
      </w:r>
    </w:p>
    <w:p w14:paraId="431D5562" w14:textId="77777777" w:rsidR="00232CB1" w:rsidRPr="00F41258" w:rsidRDefault="00232CB1" w:rsidP="009B6F99">
      <w:pPr>
        <w:pStyle w:val="Listenabsatz"/>
        <w:numPr>
          <w:ilvl w:val="0"/>
          <w:numId w:val="23"/>
        </w:numPr>
      </w:pPr>
      <w:r w:rsidRPr="00F41258">
        <w:t>Die Angemessenheit der Maßnahme unter Berücksichtigung der Auswirkungen auf die thermische Bauphysik und energetische Anlagentechnik am gesamten Gebäude prüfen</w:t>
      </w:r>
    </w:p>
    <w:p w14:paraId="57617980" w14:textId="77777777" w:rsidR="00232CB1" w:rsidRPr="00F41258" w:rsidRDefault="00232CB1" w:rsidP="009B6F99">
      <w:pPr>
        <w:pStyle w:val="Listenabsatz"/>
        <w:numPr>
          <w:ilvl w:val="0"/>
          <w:numId w:val="23"/>
        </w:numPr>
      </w:pPr>
      <w:r w:rsidRPr="00F41258">
        <w:t>Bei der Aufstellung der förderfähigen Kosten zur Antragstellung mitwirken (anhand von Angeboten oder Kostenschätzung)</w:t>
      </w:r>
    </w:p>
    <w:p w14:paraId="517F08BA" w14:textId="77777777" w:rsidR="00232CB1" w:rsidRPr="00F41258" w:rsidRDefault="00232CB1" w:rsidP="009B6F99">
      <w:pPr>
        <w:pStyle w:val="Listenabsatz"/>
        <w:numPr>
          <w:ilvl w:val="0"/>
          <w:numId w:val="23"/>
        </w:numPr>
      </w:pPr>
      <w:bookmarkStart w:id="268" w:name="_Hlk68182608"/>
      <w:r w:rsidRPr="00F41258">
        <w:t>Bei der Ausschreibung beziehungsweise Angebotseinholung mitwirken sowie die Angebote auf Übereinstimmung mit Umfang und Qualität der geplanten energetischen Maßnahme prüfen </w:t>
      </w:r>
    </w:p>
    <w:bookmarkEnd w:id="268"/>
    <w:p w14:paraId="117EB09F" w14:textId="77777777" w:rsidR="00232CB1" w:rsidRPr="00F41258" w:rsidRDefault="00232CB1" w:rsidP="009B6F99">
      <w:pPr>
        <w:pStyle w:val="Listenabsatz"/>
        <w:numPr>
          <w:ilvl w:val="0"/>
          <w:numId w:val="23"/>
        </w:numPr>
      </w:pPr>
      <w:r w:rsidRPr="00F41258">
        <w:t>Herstellernachweise, Herstellerangaben und Fachunternehmererklärungen auf Übereinstimmung mit den technischen Mindestanforderungen prüfen</w:t>
      </w:r>
    </w:p>
    <w:p w14:paraId="444A9090" w14:textId="77777777" w:rsidR="00232CB1" w:rsidRPr="00F41258" w:rsidRDefault="00232CB1" w:rsidP="009B6F99">
      <w:pPr>
        <w:pStyle w:val="Listenabsatz"/>
        <w:numPr>
          <w:ilvl w:val="0"/>
          <w:numId w:val="23"/>
        </w:numPr>
      </w:pPr>
      <w:r w:rsidRPr="00F41258">
        <w:t>Die vorhabenbezogenen Nachweise erbringen bzw. zusammenstellen</w:t>
      </w:r>
    </w:p>
    <w:p w14:paraId="7B98C51E" w14:textId="77777777" w:rsidR="00232CB1" w:rsidRPr="00F41258" w:rsidRDefault="00232CB1" w:rsidP="009B6F99">
      <w:pPr>
        <w:pStyle w:val="Listenabsatz"/>
        <w:numPr>
          <w:ilvl w:val="0"/>
          <w:numId w:val="23"/>
        </w:numPr>
      </w:pPr>
      <w:r w:rsidRPr="00F41258">
        <w:t>Die energetische Fachplanung und die Begleitung der Baumaßnahme dokumentieren</w:t>
      </w:r>
    </w:p>
    <w:p w14:paraId="2ECF03D0" w14:textId="77777777" w:rsidR="00232CB1" w:rsidRPr="00F41258" w:rsidRDefault="00232CB1" w:rsidP="009B6F99">
      <w:pPr>
        <w:pStyle w:val="Listenabsatz"/>
        <w:numPr>
          <w:ilvl w:val="0"/>
          <w:numId w:val="23"/>
        </w:numPr>
      </w:pPr>
      <w:r w:rsidRPr="00F41258">
        <w:t>Die Dokumentation mit den jeweils für die Einzelmaßnahme geforderten Nachweisen an den Bauherrn übergeben</w:t>
      </w:r>
    </w:p>
    <w:p w14:paraId="56D21C67" w14:textId="77777777" w:rsidR="00232CB1" w:rsidRPr="00F41258" w:rsidRDefault="00232CB1" w:rsidP="009B6F99">
      <w:pPr>
        <w:pStyle w:val="Listenabsatz"/>
        <w:numPr>
          <w:ilvl w:val="0"/>
          <w:numId w:val="23"/>
        </w:numPr>
      </w:pPr>
      <w:r w:rsidRPr="00F41258">
        <w:t>Nach Vorhabenbeginn: die förderfähigen Maßnahmen gemäß "Infoblatt zu den förderfähigen Kosten“ zur BEG EM prüfen sowie die Feststellungen dokumentieren </w:t>
      </w:r>
    </w:p>
    <w:p w14:paraId="55986D17" w14:textId="77777777" w:rsidR="00232CB1" w:rsidRPr="00F41258" w:rsidRDefault="00232CB1" w:rsidP="009B6F99">
      <w:pPr>
        <w:pStyle w:val="Listenabsatz"/>
        <w:numPr>
          <w:ilvl w:val="0"/>
          <w:numId w:val="23"/>
        </w:numPr>
      </w:pPr>
      <w:r w:rsidRPr="00F41258">
        <w:t>In der "Bestätigung nach Durchführung"</w:t>
      </w:r>
      <w:proofErr w:type="gramStart"/>
      <w:r w:rsidRPr="00F41258">
        <w:t>/„</w:t>
      </w:r>
      <w:proofErr w:type="gramEnd"/>
      <w:r w:rsidRPr="00F41258">
        <w:t>gewerblichen Bestätigung nach Durchführung“ bzw. dem „technischen Projektnachweis“ die Umsetzung des geförderten Vorhabens und die förderfähigen Kosten erklären und die Einhaltung der technischen Mindestanforderungen für die Maßnahmen bestätigen</w:t>
      </w:r>
    </w:p>
    <w:p w14:paraId="539DE4BE" w14:textId="5F29C074" w:rsidR="00232CB1" w:rsidRPr="00F41258" w:rsidRDefault="00232CB1" w:rsidP="009B6F99">
      <w:pPr>
        <w:pStyle w:val="Listenabsatz"/>
        <w:numPr>
          <w:ilvl w:val="0"/>
          <w:numId w:val="23"/>
        </w:numPr>
      </w:pPr>
      <w:r w:rsidRPr="00F41258">
        <w:t>Rechnungen einreichen, die die förderfähigen Kosten belegen</w:t>
      </w:r>
    </w:p>
    <w:p w14:paraId="5FC9087E" w14:textId="36103F51" w:rsidR="002B25AB" w:rsidRPr="00F41258" w:rsidRDefault="002B25AB" w:rsidP="009B6F99">
      <w:pPr>
        <w:pStyle w:val="Listenabsatz"/>
        <w:numPr>
          <w:ilvl w:val="0"/>
          <w:numId w:val="23"/>
        </w:numPr>
        <w:spacing w:before="120" w:after="120"/>
      </w:pPr>
      <w:r w:rsidRPr="00F41258">
        <w:t xml:space="preserve">Prüfen und bestätigen, dass Eigenleistungen fachgerecht durchgeführt wurden und Materialkosten korrekt aufgeführt werden </w:t>
      </w:r>
    </w:p>
    <w:p w14:paraId="6B5D419C" w14:textId="77777777" w:rsidR="00232CB1" w:rsidRPr="00F41258" w:rsidRDefault="00232CB1" w:rsidP="00583FF0">
      <w:r w:rsidRPr="00F41258">
        <w:t>Ergänzende Leistungen bei Durchführung von Einzelmaßnahmen an der Gebäudehülle:</w:t>
      </w:r>
    </w:p>
    <w:p w14:paraId="73AAEFC9" w14:textId="77777777" w:rsidR="00232CB1" w:rsidRPr="00F41258" w:rsidRDefault="00232CB1" w:rsidP="009B6F99">
      <w:pPr>
        <w:pStyle w:val="Listenabsatz"/>
        <w:numPr>
          <w:ilvl w:val="0"/>
          <w:numId w:val="24"/>
        </w:numPr>
      </w:pPr>
      <w:r w:rsidRPr="00F41258">
        <w:t>Planung des baulichen Wärmeschutzes in Bezug auf die geplante Einzelmaßnahme erbringen; gegebenenfalls Beratung zu Umsetzungsmöglichkeiten</w:t>
      </w:r>
    </w:p>
    <w:p w14:paraId="7FBDE46E" w14:textId="77777777" w:rsidR="00232CB1" w:rsidRPr="00F41258" w:rsidRDefault="00232CB1" w:rsidP="009B6F99">
      <w:pPr>
        <w:pStyle w:val="Listenabsatz"/>
        <w:numPr>
          <w:ilvl w:val="0"/>
          <w:numId w:val="24"/>
        </w:numPr>
      </w:pPr>
      <w:r w:rsidRPr="00F41258">
        <w:t>Wärmebrückenkonzept und Luftdichtheitskonzept in Bezug auf die geplante Einzelmaßnahme erstellen, z. B. durch grafische Darstellung der geplanten Umsetzung</w:t>
      </w:r>
    </w:p>
    <w:p w14:paraId="32F15E40" w14:textId="0DA91CD1" w:rsidR="00232CB1" w:rsidRPr="00F41258" w:rsidRDefault="00232CB1" w:rsidP="009B6F99">
      <w:pPr>
        <w:pStyle w:val="Listenabsatz"/>
        <w:numPr>
          <w:ilvl w:val="0"/>
          <w:numId w:val="24"/>
        </w:numPr>
      </w:pPr>
      <w:r w:rsidRPr="00F41258">
        <w:lastRenderedPageBreak/>
        <w:t>Die Notwendigkeit lüftungstechnischer Maßnahmen prüfen (</w:t>
      </w:r>
      <w:r w:rsidR="00AD224D" w:rsidRPr="00F41258">
        <w:t>z. B.</w:t>
      </w:r>
      <w:r w:rsidRPr="00F41258">
        <w:t xml:space="preserve"> unter Anwendung der DIN 1946-6) und den Bauherrn über das Ergebnis informieren. Die Veranlassung der Umsetzung lüftungstechnischer Maßnahmen verantwortet der Bauherr </w:t>
      </w:r>
    </w:p>
    <w:p w14:paraId="70B994B0" w14:textId="77777777" w:rsidR="00232CB1" w:rsidRPr="00F41258" w:rsidRDefault="00232CB1" w:rsidP="009B6F99">
      <w:pPr>
        <w:pStyle w:val="Listenabsatz"/>
        <w:numPr>
          <w:ilvl w:val="0"/>
          <w:numId w:val="24"/>
        </w:numPr>
      </w:pPr>
      <w:r w:rsidRPr="00F41258">
        <w:t>Die Umsetzung lüftungstechnischer Maßnahmen (sofern durchgeführt) prüfen </w:t>
      </w:r>
    </w:p>
    <w:p w14:paraId="1A8A232B" w14:textId="7A0EB0CD" w:rsidR="00232CB1" w:rsidRPr="00F41258" w:rsidRDefault="00232CB1" w:rsidP="009B6F99">
      <w:pPr>
        <w:pStyle w:val="Listenabsatz"/>
        <w:numPr>
          <w:ilvl w:val="0"/>
          <w:numId w:val="24"/>
        </w:numPr>
      </w:pPr>
      <w:r w:rsidRPr="00F41258">
        <w:t>Vor Ausführung der Putzarbeiten beziehungsweise vor Aufbringung späterer Verkleidungen: die energetisch relevanten, insbesondere später nicht mehr zugänglichen Bauteile (wie wärmeschutztechnischer Bauteilaufbau, Reduzierung von Wärmebrücken und luftdichte Ausführung) prüfen</w:t>
      </w:r>
      <w:r w:rsidR="00C11498" w:rsidRPr="00F41258">
        <w:t xml:space="preserve"> und dokumentieren</w:t>
      </w:r>
      <w:r w:rsidR="0020760E" w:rsidRPr="00F41258">
        <w:t>,</w:t>
      </w:r>
      <w:r w:rsidRPr="00F41258">
        <w:t xml:space="preserve"> </w:t>
      </w:r>
      <w:r w:rsidR="0020760E" w:rsidRPr="00F41258">
        <w:t>g</w:t>
      </w:r>
      <w:r w:rsidRPr="00F41258">
        <w:t>egebenenfalls mittels einer Sichtprüfung im Rahmen einer Baustellenbegehung</w:t>
      </w:r>
    </w:p>
    <w:p w14:paraId="4073EC95" w14:textId="77777777" w:rsidR="00232CB1" w:rsidRPr="00F41258" w:rsidRDefault="00232CB1" w:rsidP="00583FF0">
      <w:r w:rsidRPr="00F41258">
        <w:t>Ergänzende Leistungen bei Durchführung von Maßnahmen der Heizungs- und Lüftungstechnik:</w:t>
      </w:r>
    </w:p>
    <w:p w14:paraId="3A47E04E" w14:textId="77777777" w:rsidR="00232CB1" w:rsidRPr="00F41258" w:rsidRDefault="00232CB1" w:rsidP="009B6F99">
      <w:pPr>
        <w:pStyle w:val="Listenabsatz"/>
        <w:numPr>
          <w:ilvl w:val="0"/>
          <w:numId w:val="6"/>
        </w:numPr>
      </w:pPr>
      <w:r w:rsidRPr="00F41258">
        <w:t>Konzeptionierung der energetischen Anlagentechnik erbringen; gegebenenfalls Beratung zu Umsetzungsmöglichkeiten</w:t>
      </w:r>
    </w:p>
    <w:p w14:paraId="7274D172" w14:textId="77777777" w:rsidR="00232CB1" w:rsidRPr="00F41258" w:rsidRDefault="00232CB1" w:rsidP="009B6F99">
      <w:pPr>
        <w:pStyle w:val="Listenabsatz"/>
        <w:numPr>
          <w:ilvl w:val="0"/>
          <w:numId w:val="6"/>
        </w:numPr>
      </w:pPr>
      <w:r w:rsidRPr="00F41258">
        <w:t>Einbau von Lüftungsanlagen:</w:t>
      </w:r>
    </w:p>
    <w:p w14:paraId="0693FCB3" w14:textId="77777777" w:rsidR="00232CB1" w:rsidRPr="00F41258" w:rsidRDefault="00232CB1" w:rsidP="009B6F99">
      <w:pPr>
        <w:pStyle w:val="Listenabsatz"/>
        <w:numPr>
          <w:ilvl w:val="1"/>
          <w:numId w:val="7"/>
        </w:numPr>
      </w:pPr>
      <w:r w:rsidRPr="00F41258">
        <w:t>die Notwendigkeit zur Durchführung einer Luftdichtheitsmessung prüfen</w:t>
      </w:r>
    </w:p>
    <w:p w14:paraId="76522349" w14:textId="77777777" w:rsidR="00232CB1" w:rsidRPr="00F41258" w:rsidRDefault="00232CB1" w:rsidP="009B6F99">
      <w:pPr>
        <w:pStyle w:val="Listenabsatz"/>
        <w:numPr>
          <w:ilvl w:val="1"/>
          <w:numId w:val="7"/>
        </w:numPr>
      </w:pPr>
      <w:r w:rsidRPr="00F41258">
        <w:t>die Auslegung der Luftvolumenströme prüfen</w:t>
      </w:r>
    </w:p>
    <w:p w14:paraId="48209391" w14:textId="77777777" w:rsidR="00232CB1" w:rsidRPr="00F41258" w:rsidRDefault="00232CB1" w:rsidP="009B6F99">
      <w:pPr>
        <w:pStyle w:val="Listenabsatz"/>
        <w:numPr>
          <w:ilvl w:val="1"/>
          <w:numId w:val="7"/>
        </w:numPr>
      </w:pPr>
      <w:r w:rsidRPr="00F41258">
        <w:t>zusätzlich bei Nichtwohngebäuden: Nachweis der Dichtheit des Kanalsystems prüfen</w:t>
      </w:r>
    </w:p>
    <w:p w14:paraId="24C9F8D2" w14:textId="77777777" w:rsidR="00232CB1" w:rsidRPr="00F41258" w:rsidRDefault="00232CB1" w:rsidP="009B6F99">
      <w:pPr>
        <w:pStyle w:val="Listenabsatz"/>
        <w:numPr>
          <w:ilvl w:val="0"/>
          <w:numId w:val="6"/>
        </w:numPr>
      </w:pPr>
      <w:r w:rsidRPr="00F41258">
        <w:t xml:space="preserve">Einbau von Heizungsanlagen: </w:t>
      </w:r>
    </w:p>
    <w:p w14:paraId="735B4D47" w14:textId="77777777" w:rsidR="00232CB1" w:rsidRPr="00F41258" w:rsidRDefault="00232CB1" w:rsidP="009B6F99">
      <w:pPr>
        <w:pStyle w:val="Listenabsatz"/>
        <w:numPr>
          <w:ilvl w:val="1"/>
          <w:numId w:val="6"/>
        </w:numPr>
      </w:pPr>
      <w:r w:rsidRPr="00F41258">
        <w:t>Bei wassergeführten Heizungsanlagen: Den Nachweis zum hydraulischen Abgleich prüfen</w:t>
      </w:r>
    </w:p>
    <w:p w14:paraId="10B09774" w14:textId="507386F0" w:rsidR="00232CB1" w:rsidRPr="00F41258" w:rsidRDefault="00232CB1" w:rsidP="009B6F99">
      <w:pPr>
        <w:pStyle w:val="Listenabsatz"/>
        <w:numPr>
          <w:ilvl w:val="1"/>
          <w:numId w:val="6"/>
        </w:numPr>
      </w:pPr>
      <w:r w:rsidRPr="00F41258">
        <w:t>Bei luftgeführten Heizungsanlagen: Den Nachweis zum Abgleich der Luftvolumenströme prüfen</w:t>
      </w:r>
    </w:p>
    <w:p w14:paraId="61AEFDF4" w14:textId="77777777" w:rsidR="00232CB1" w:rsidRPr="00F41258" w:rsidRDefault="00232CB1" w:rsidP="009B6F99">
      <w:pPr>
        <w:pStyle w:val="Listenabsatz"/>
        <w:numPr>
          <w:ilvl w:val="1"/>
          <w:numId w:val="6"/>
        </w:numPr>
      </w:pPr>
      <w:r w:rsidRPr="00F41258">
        <w:t xml:space="preserve">Bei Wärmepumpen: Den Bauherrn hinsichtlich des Einsatzes zukunftssicherer natürlicher Kältemittel gemäß AMEV Kälte 2017 bei Einsatz von Wärmepumpen beraten </w:t>
      </w:r>
    </w:p>
    <w:p w14:paraId="1151580E" w14:textId="77777777" w:rsidR="00232CB1" w:rsidRPr="00F41258" w:rsidRDefault="00232CB1" w:rsidP="009B6F99">
      <w:pPr>
        <w:pStyle w:val="Listenabsatz"/>
        <w:numPr>
          <w:ilvl w:val="0"/>
          <w:numId w:val="6"/>
        </w:numPr>
      </w:pPr>
      <w:r w:rsidRPr="00F41258">
        <w:t>Die Einregulierung der Anlage prüfen</w:t>
      </w:r>
    </w:p>
    <w:p w14:paraId="78ABBF77" w14:textId="77777777" w:rsidR="00232CB1" w:rsidRPr="00F41258" w:rsidRDefault="00232CB1" w:rsidP="009B6F99">
      <w:pPr>
        <w:pStyle w:val="Listenabsatz"/>
        <w:numPr>
          <w:ilvl w:val="0"/>
          <w:numId w:val="6"/>
        </w:numPr>
      </w:pPr>
      <w:r w:rsidRPr="00F41258">
        <w:t>Die Übergabe der energetischen Anlagentechnik prüfen (gegebenenfalls mit ergänzender technischer Einweisung)</w:t>
      </w:r>
    </w:p>
    <w:p w14:paraId="6FDD22C7" w14:textId="77777777" w:rsidR="00232CB1" w:rsidRPr="00F41258" w:rsidRDefault="00232CB1" w:rsidP="009B6F99">
      <w:pPr>
        <w:pStyle w:val="Listenabsatz"/>
        <w:numPr>
          <w:ilvl w:val="0"/>
          <w:numId w:val="8"/>
        </w:numPr>
      </w:pPr>
      <w:r w:rsidRPr="00F41258">
        <w:t xml:space="preserve">Die Ausführung der energetischen Anlagentechnik auf Übereinstimmung mit der Planung prüfen </w:t>
      </w:r>
    </w:p>
    <w:p w14:paraId="118C1186" w14:textId="77777777" w:rsidR="00232CB1" w:rsidRPr="00F41258" w:rsidRDefault="00232CB1" w:rsidP="00583FF0">
      <w:r w:rsidRPr="00F41258">
        <w:t>Ergänzende Leistungen bei Durchführung von Maßnahmen der Kältetechnik (Nichtwohngebäude):</w:t>
      </w:r>
    </w:p>
    <w:p w14:paraId="45890471" w14:textId="77777777" w:rsidR="00232CB1" w:rsidRPr="00F41258" w:rsidRDefault="00232CB1" w:rsidP="009B6F99">
      <w:pPr>
        <w:pStyle w:val="Listenabsatz"/>
        <w:numPr>
          <w:ilvl w:val="0"/>
          <w:numId w:val="8"/>
        </w:numPr>
      </w:pPr>
      <w:r w:rsidRPr="00F41258">
        <w:t>Konzeptionierung der Anlagentechnik erbringen; gegebenenfalls Beratung zu Umsetzungsmöglichkeiten</w:t>
      </w:r>
    </w:p>
    <w:p w14:paraId="347C36D2" w14:textId="77777777" w:rsidR="00232CB1" w:rsidRPr="00F41258" w:rsidRDefault="00232CB1" w:rsidP="009B6F99">
      <w:pPr>
        <w:pStyle w:val="Listenabsatz"/>
        <w:numPr>
          <w:ilvl w:val="0"/>
          <w:numId w:val="8"/>
        </w:numPr>
      </w:pPr>
      <w:r w:rsidRPr="00F41258">
        <w:t>Nachweise zum hydraulischen Abgleich und zur Einregulierung der Anlage prüfen</w:t>
      </w:r>
    </w:p>
    <w:p w14:paraId="1C4FF2FA" w14:textId="77777777" w:rsidR="00232CB1" w:rsidRPr="00F41258" w:rsidRDefault="00232CB1" w:rsidP="009B6F99">
      <w:pPr>
        <w:pStyle w:val="Listenabsatz"/>
        <w:numPr>
          <w:ilvl w:val="0"/>
          <w:numId w:val="8"/>
        </w:numPr>
      </w:pPr>
      <w:r w:rsidRPr="00F41258">
        <w:t>Die Übergabe der energetischen Anlagentechnik prüfen (gegebenenfalls mit ergänzender technischer Einweisung)</w:t>
      </w:r>
    </w:p>
    <w:p w14:paraId="42292EBF" w14:textId="77777777" w:rsidR="00232CB1" w:rsidRPr="00F41258" w:rsidRDefault="00232CB1" w:rsidP="009B6F99">
      <w:pPr>
        <w:pStyle w:val="Listenabsatz"/>
        <w:numPr>
          <w:ilvl w:val="0"/>
          <w:numId w:val="8"/>
        </w:numPr>
      </w:pPr>
      <w:r w:rsidRPr="00F41258">
        <w:t>Die Ausführung der energetischen Anlagentechnik auf Übereinstimmung mit der Planung prüfen</w:t>
      </w:r>
    </w:p>
    <w:p w14:paraId="40F32BA1" w14:textId="77777777" w:rsidR="00232CB1" w:rsidRPr="00F41258" w:rsidRDefault="00232CB1" w:rsidP="009B6F99">
      <w:pPr>
        <w:pStyle w:val="Listenabsatz"/>
        <w:numPr>
          <w:ilvl w:val="0"/>
          <w:numId w:val="8"/>
        </w:numPr>
      </w:pPr>
      <w:r w:rsidRPr="00F41258">
        <w:t>Den Bauherrn hinsichtlich des Einsatzes zukunftssicherer Kältemittel gemäß AMEV Kälte 2017 bei Einsatz von Kältemaschinen beraten</w:t>
      </w:r>
    </w:p>
    <w:p w14:paraId="4BDD9BF3" w14:textId="77777777" w:rsidR="00232CB1" w:rsidRPr="00F41258" w:rsidRDefault="00232CB1" w:rsidP="00583FF0">
      <w:r w:rsidRPr="00F41258">
        <w:t>Ergänzende Leistung bei Durchführung von Maßnahme im Rahmen eines individuellen Sanierungsfahrplanes (iSFP):</w:t>
      </w:r>
    </w:p>
    <w:p w14:paraId="1E516E01" w14:textId="20A1B20B" w:rsidR="00232CB1" w:rsidRPr="00F41258" w:rsidRDefault="00232CB1" w:rsidP="009B6F99">
      <w:pPr>
        <w:pStyle w:val="Listenabsatz"/>
        <w:numPr>
          <w:ilvl w:val="0"/>
          <w:numId w:val="5"/>
        </w:numPr>
      </w:pPr>
      <w:r w:rsidRPr="00F41258">
        <w:lastRenderedPageBreak/>
        <w:t>Prüfen und bestätigen, dass die Maßnahmen dem iSFP entsprechen und sie daher als iSFP-Maßnahmen gewertet werden können</w:t>
      </w:r>
      <w:r w:rsidR="0022030C" w:rsidRPr="00F41258">
        <w:t>.</w:t>
      </w:r>
    </w:p>
    <w:p w14:paraId="34F5D157" w14:textId="6C25A530" w:rsidR="00232CB1" w:rsidRPr="00F41258" w:rsidRDefault="00232CB1" w:rsidP="00583FF0">
      <w:pPr>
        <w:pStyle w:val="berschrift2"/>
      </w:pPr>
      <w:bookmarkStart w:id="269" w:name="_Toc112915730"/>
      <w:bookmarkStart w:id="270" w:name="_Toc144908106"/>
      <w:r w:rsidRPr="00F41258">
        <w:t>Leistungen des Fachunternehmers</w:t>
      </w:r>
      <w:bookmarkEnd w:id="269"/>
      <w:bookmarkEnd w:id="270"/>
    </w:p>
    <w:p w14:paraId="556CBA31" w14:textId="1B5A20B7" w:rsidR="00232CB1" w:rsidRPr="00F41258" w:rsidRDefault="00232CB1" w:rsidP="00583FF0">
      <w:r w:rsidRPr="00F41258">
        <w:t>Der Fachunternehmer muss bei der energetischen Heizungssanierung mit Einzelmaßnahmen (</w:t>
      </w:r>
      <w:hyperlink w:anchor="_Anlagen_zur_Wärmeerzeugung" w:history="1">
        <w:r w:rsidRPr="00F41258">
          <w:rPr>
            <w:rStyle w:val="Hyperlink"/>
          </w:rPr>
          <w:t>Nummern 5.3</w:t>
        </w:r>
      </w:hyperlink>
      <w:r w:rsidRPr="00F41258">
        <w:t xml:space="preserve"> und </w:t>
      </w:r>
      <w:hyperlink w:anchor="_Heizungsoptimierung" w:history="1">
        <w:r w:rsidRPr="00F41258">
          <w:rPr>
            <w:rStyle w:val="Hyperlink"/>
          </w:rPr>
          <w:t>5.4</w:t>
        </w:r>
      </w:hyperlink>
      <w:r w:rsidRPr="00F41258">
        <w:t xml:space="preserve"> der </w:t>
      </w:r>
      <w:r w:rsidR="00103EB3" w:rsidRPr="00F41258">
        <w:t>Förderr</w:t>
      </w:r>
      <w:r w:rsidRPr="00F41258">
        <w:t>ichtlinien</w:t>
      </w:r>
      <w:r w:rsidR="00927C7E" w:rsidRPr="00F41258">
        <w:t xml:space="preserve">, außer </w:t>
      </w:r>
      <w:hyperlink w:anchor="_Errichtung,_Umbau_und" w:history="1">
        <w:r w:rsidR="00A30AA8" w:rsidRPr="00F41258">
          <w:rPr>
            <w:rStyle w:val="Hyperlink"/>
          </w:rPr>
          <w:t xml:space="preserve">Nummer 5.3 Buchstabe </w:t>
        </w:r>
        <w:r w:rsidR="00D4601B" w:rsidRPr="00F41258">
          <w:rPr>
            <w:rStyle w:val="Hyperlink"/>
          </w:rPr>
          <w:t>g</w:t>
        </w:r>
      </w:hyperlink>
      <w:r w:rsidR="00D4601B" w:rsidRPr="00F41258">
        <w:t xml:space="preserve">; </w:t>
      </w:r>
      <w:r w:rsidR="00927C7E" w:rsidRPr="00F41258">
        <w:t>Errichtung, Umbau und Erweiterung Gebäudenetz</w:t>
      </w:r>
      <w:r w:rsidRPr="00F41258">
        <w:t>) mindestens folgende Leistungen erbringen und deren programmgemäße Umsetzung bestätigen. Werden fachspezifische Teilleistungen durch Dritte (z. B. Tiefenbohrung oder hydraulischer Abgleich) erbracht, sind diese vom Fachunternehmer im Rahmen seiner Gesamtverantwortung zu überprüfen.</w:t>
      </w:r>
    </w:p>
    <w:p w14:paraId="002E0B63" w14:textId="4C807FE5" w:rsidR="00FF1EC9" w:rsidRPr="00F41258" w:rsidRDefault="00FF1EC9" w:rsidP="00FF1EC9">
      <w:pPr>
        <w:pStyle w:val="Listenabsatz"/>
        <w:numPr>
          <w:ilvl w:val="0"/>
          <w:numId w:val="10"/>
        </w:numPr>
      </w:pPr>
      <w:r w:rsidRPr="00F41258">
        <w:t>In der "Bestätigung zum Antrag"/„gewerblichen Bestätigung zum Antrag“ die geplante energetische Maßnahme, die zu erzielende THG-Minderung und die förderfähigen Kosten erklären sowie die Einhaltung der technischen Mindestanforderungen gemäß der BEG EM für diese Maßnahme bestätigen</w:t>
      </w:r>
    </w:p>
    <w:p w14:paraId="472FBD7F" w14:textId="77777777" w:rsidR="00232CB1" w:rsidRPr="00F41258" w:rsidRDefault="00232CB1" w:rsidP="009B6F99">
      <w:pPr>
        <w:pStyle w:val="Listenabsatz"/>
        <w:numPr>
          <w:ilvl w:val="0"/>
          <w:numId w:val="10"/>
        </w:numPr>
      </w:pPr>
      <w:r w:rsidRPr="00F41258">
        <w:t>Im Rahmen der Antragstellung die geplante energetische Maßnahme und die förderfähigen Kosten erklären sowie die Einhaltung der technischen Mindestanforderungen für diese Maßnahme bestätigen</w:t>
      </w:r>
    </w:p>
    <w:p w14:paraId="0D8586DC" w14:textId="6BA5C460" w:rsidR="00232CB1" w:rsidRPr="00F41258" w:rsidRDefault="00232CB1" w:rsidP="009B6F99">
      <w:pPr>
        <w:pStyle w:val="Listenabsatz"/>
        <w:numPr>
          <w:ilvl w:val="0"/>
          <w:numId w:val="10"/>
        </w:numPr>
      </w:pPr>
      <w:r w:rsidRPr="00F41258">
        <w:t>Die mit der Maßnahme erreichte Verbesserung des energetischen Niveaus des Gebäudes im Sinne einer Erhöhung der Energieeffizienz oder des Anteils erneuerbarer Energien am Endenergieverbrauch des Gebäudes bestätigen</w:t>
      </w:r>
    </w:p>
    <w:p w14:paraId="5693519B" w14:textId="77777777" w:rsidR="00232CB1" w:rsidRPr="00F41258" w:rsidRDefault="00232CB1" w:rsidP="009B6F99">
      <w:pPr>
        <w:pStyle w:val="Listenabsatz"/>
        <w:numPr>
          <w:ilvl w:val="0"/>
          <w:numId w:val="10"/>
        </w:numPr>
      </w:pPr>
      <w:r w:rsidRPr="00F41258">
        <w:t>die Angemessenheit der Maßnahme unter Berücksichtigung der Auswirkungen auf die thermische Bauphysik und energetische Anlagentechnik am gesamten Gebäude prüfen</w:t>
      </w:r>
    </w:p>
    <w:p w14:paraId="6CAE7D2D" w14:textId="77777777" w:rsidR="00232CB1" w:rsidRPr="00F41258" w:rsidRDefault="00232CB1" w:rsidP="009B6F99">
      <w:pPr>
        <w:pStyle w:val="Listenabsatz"/>
        <w:numPr>
          <w:ilvl w:val="0"/>
          <w:numId w:val="10"/>
        </w:numPr>
      </w:pPr>
      <w:r w:rsidRPr="00F41258">
        <w:t>Herstellernachweise und Herstellerangaben auf Übereinstimmung mit den technischen Mindestanforderungen gemäß der BEG EM prüfen</w:t>
      </w:r>
    </w:p>
    <w:p w14:paraId="7D050754" w14:textId="77777777" w:rsidR="00232CB1" w:rsidRPr="00F41258" w:rsidRDefault="00232CB1" w:rsidP="009B6F99">
      <w:pPr>
        <w:pStyle w:val="Listenabsatz"/>
        <w:numPr>
          <w:ilvl w:val="0"/>
          <w:numId w:val="10"/>
        </w:numPr>
      </w:pPr>
      <w:r w:rsidRPr="00F41258">
        <w:t xml:space="preserve">Bei Wärmepumpen: Den Bauherrn hinsichtlich des Einsatzes zukunftssicherer natürlicher Kältemittel gemäß AMEV Kälte 2017 bei Einsatz von Wärmepumpen beraten </w:t>
      </w:r>
    </w:p>
    <w:p w14:paraId="44F71594" w14:textId="77777777" w:rsidR="00232CB1" w:rsidRPr="00F41258" w:rsidRDefault="00232CB1" w:rsidP="009B6F99">
      <w:pPr>
        <w:pStyle w:val="Listenabsatz"/>
        <w:numPr>
          <w:ilvl w:val="0"/>
          <w:numId w:val="10"/>
        </w:numPr>
      </w:pPr>
      <w:r w:rsidRPr="00F41258">
        <w:t xml:space="preserve">Die vorhabenbezogenen Nachweise erbringen bzw. zusammenstellen, die heizungstechnische Fachplanung erbringen bzw. überprüfen und deren Umsetzung dokumentieren. Nachweise und Dokumentation an den Bauherrn übergeben </w:t>
      </w:r>
    </w:p>
    <w:p w14:paraId="5603B68A" w14:textId="77777777" w:rsidR="00232CB1" w:rsidRPr="00F41258" w:rsidRDefault="00232CB1" w:rsidP="009B6F99">
      <w:pPr>
        <w:pStyle w:val="Listenabsatz"/>
        <w:numPr>
          <w:ilvl w:val="0"/>
          <w:numId w:val="10"/>
        </w:numPr>
      </w:pPr>
      <w:r w:rsidRPr="00F41258">
        <w:t xml:space="preserve">Nach Vorhabendurchführung: die Förderfähigkeit der durchgeführten Maßnahmen gemäß "Infoblatt zu den förderfähigen Kosten“ zur BEG EM prüfen und dokumentieren </w:t>
      </w:r>
    </w:p>
    <w:p w14:paraId="677EBBEC" w14:textId="77777777" w:rsidR="00232CB1" w:rsidRPr="00F41258" w:rsidRDefault="00232CB1" w:rsidP="009B6F99">
      <w:pPr>
        <w:pStyle w:val="Listenabsatz"/>
        <w:numPr>
          <w:ilvl w:val="0"/>
          <w:numId w:val="10"/>
        </w:numPr>
      </w:pPr>
      <w:r w:rsidRPr="00F41258">
        <w:t>Nach Vorhabendurchführung: Die Umsetzung des geförderten Vorhabens und die förderfähigen Kosten erklären und die Einhaltung der technischen Mindestanforderungen für diese Maßnahme bestätigen</w:t>
      </w:r>
    </w:p>
    <w:p w14:paraId="012BE459" w14:textId="77777777" w:rsidR="00232CB1" w:rsidRPr="00F41258" w:rsidRDefault="00232CB1" w:rsidP="009B6F99">
      <w:pPr>
        <w:pStyle w:val="Listenabsatz"/>
        <w:numPr>
          <w:ilvl w:val="0"/>
          <w:numId w:val="10"/>
        </w:numPr>
      </w:pPr>
      <w:r w:rsidRPr="00F41258">
        <w:t>Die Konzeptionierung der heizungstechnischen Maßnahme erbringen bzw. überprüfen; Beratung zu Umsetzungsmöglichkeiten</w:t>
      </w:r>
    </w:p>
    <w:p w14:paraId="0BE3CCE1" w14:textId="77777777" w:rsidR="00232CB1" w:rsidRPr="00F41258" w:rsidRDefault="00232CB1" w:rsidP="009B6F99">
      <w:pPr>
        <w:pStyle w:val="Listenabsatz"/>
        <w:numPr>
          <w:ilvl w:val="0"/>
          <w:numId w:val="9"/>
        </w:numPr>
      </w:pPr>
      <w:r w:rsidRPr="00F41258">
        <w:t>Bei wassergeführten Heizungsanlagen: Den hydraulischen Abgleich durchführen bzw. den Nachweis prüfen</w:t>
      </w:r>
    </w:p>
    <w:p w14:paraId="3D377D1A" w14:textId="77777777" w:rsidR="00232CB1" w:rsidRPr="00F41258" w:rsidRDefault="00232CB1" w:rsidP="009B6F99">
      <w:pPr>
        <w:pStyle w:val="Listenabsatz"/>
        <w:numPr>
          <w:ilvl w:val="0"/>
          <w:numId w:val="10"/>
        </w:numPr>
      </w:pPr>
      <w:r w:rsidRPr="00F41258">
        <w:t>Bei luftgeführten Heizungsanlagen: Den Abgleich der Luftvolumenströme durchführen bzw. den Nachweis prüfen </w:t>
      </w:r>
    </w:p>
    <w:p w14:paraId="14C7179E" w14:textId="77777777" w:rsidR="00232CB1" w:rsidRPr="00F41258" w:rsidRDefault="00232CB1" w:rsidP="009B6F99">
      <w:pPr>
        <w:pStyle w:val="Listenabsatz"/>
        <w:numPr>
          <w:ilvl w:val="0"/>
          <w:numId w:val="10"/>
        </w:numPr>
      </w:pPr>
      <w:r w:rsidRPr="00F41258">
        <w:t>Die Heizungsanlage einregulieren bzw. die Einregulierung überprüfen</w:t>
      </w:r>
    </w:p>
    <w:p w14:paraId="34E1B701" w14:textId="77777777" w:rsidR="00232CB1" w:rsidRPr="00F41258" w:rsidRDefault="00232CB1" w:rsidP="009B6F99">
      <w:pPr>
        <w:pStyle w:val="Listenabsatz"/>
        <w:numPr>
          <w:ilvl w:val="0"/>
          <w:numId w:val="9"/>
        </w:numPr>
      </w:pPr>
      <w:r w:rsidRPr="00F41258">
        <w:t>Die Heizungsanlage oder heizungstechnische Komponente übergeben inklusive technischer Einweisung</w:t>
      </w:r>
    </w:p>
    <w:p w14:paraId="52367A74" w14:textId="0A387E81" w:rsidR="00232CB1" w:rsidRPr="00F41258" w:rsidRDefault="00232CB1" w:rsidP="009B6F99">
      <w:pPr>
        <w:pStyle w:val="Listenabsatz"/>
        <w:numPr>
          <w:ilvl w:val="0"/>
          <w:numId w:val="9"/>
        </w:numPr>
        <w:rPr>
          <w:iCs/>
        </w:rPr>
      </w:pPr>
      <w:r w:rsidRPr="00F41258">
        <w:t>Die heizungstechnische Maßnahme planungsgemäß umsetzen</w:t>
      </w:r>
    </w:p>
    <w:p w14:paraId="3C9C89CC" w14:textId="1C869435" w:rsidR="007C333E" w:rsidRPr="00F41258" w:rsidRDefault="002B25AB" w:rsidP="009B6F99">
      <w:pPr>
        <w:pStyle w:val="Listenabsatz"/>
        <w:numPr>
          <w:ilvl w:val="0"/>
          <w:numId w:val="9"/>
        </w:numPr>
        <w:spacing w:before="120" w:after="120"/>
      </w:pPr>
      <w:r w:rsidRPr="00F41258">
        <w:lastRenderedPageBreak/>
        <w:t>Prüfen und bestätigen, dass Eigenleistungen fachgerecht durchgeführt wurden und Materialkosten korrekt aufgeführt werden</w:t>
      </w:r>
    </w:p>
    <w:sectPr w:rsidR="007C333E" w:rsidRPr="00F41258" w:rsidSect="003E78AC">
      <w:pgSz w:w="10522" w:h="14832"/>
      <w:pgMar w:top="720" w:right="720" w:bottom="720" w:left="720" w:header="283"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1B168D" w14:textId="77777777" w:rsidR="00240820" w:rsidRDefault="00240820" w:rsidP="00583FF0">
      <w:r>
        <w:separator/>
      </w:r>
    </w:p>
  </w:endnote>
  <w:endnote w:type="continuationSeparator" w:id="0">
    <w:p w14:paraId="530B8B60" w14:textId="77777777" w:rsidR="00240820" w:rsidRDefault="00240820" w:rsidP="00583FF0">
      <w:r>
        <w:continuationSeparator/>
      </w:r>
    </w:p>
  </w:endnote>
  <w:endnote w:type="continuationNotice" w:id="1">
    <w:p w14:paraId="7072CCD1" w14:textId="77777777" w:rsidR="00240820" w:rsidRDefault="00240820">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BundesSerif Office">
    <w:panose1 w:val="02050002050300000203"/>
    <w:charset w:val="00"/>
    <w:family w:val="roman"/>
    <w:pitch w:val="variable"/>
    <w:sig w:usb0="A00000BF" w:usb1="4000206B" w:usb2="00000000" w:usb3="00000000" w:csb0="00000093" w:csb1="00000000"/>
  </w:font>
  <w:font w:name="NSimSun">
    <w:panose1 w:val="02010609030101010101"/>
    <w:charset w:val="86"/>
    <w:family w:val="modern"/>
    <w:pitch w:val="fixed"/>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Times New Roman PSMT">
    <w:altName w:val="Times New Roman"/>
    <w:panose1 w:val="00000000000000000000"/>
    <w:charset w:val="00"/>
    <w:family w:val="roman"/>
    <w:notTrueType/>
    <w:pitch w:val="default"/>
    <w:sig w:usb0="00000003" w:usb1="00000000" w:usb2="00000000" w:usb3="00000000" w:csb0="00000001" w:csb1="00000000"/>
  </w:font>
  <w:font w:name="Ubuntu">
    <w:charset w:val="00"/>
    <w:family w:val="swiss"/>
    <w:pitch w:val="variable"/>
    <w:sig w:usb0="E00002FF" w:usb1="5000205B" w:usb2="00000000" w:usb3="00000000" w:csb0="0000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E806CC" w14:textId="77777777" w:rsidR="00240820" w:rsidRDefault="00240820" w:rsidP="00583FF0">
      <w:r>
        <w:separator/>
      </w:r>
    </w:p>
  </w:footnote>
  <w:footnote w:type="continuationSeparator" w:id="0">
    <w:p w14:paraId="38B51480" w14:textId="77777777" w:rsidR="00240820" w:rsidRDefault="00240820" w:rsidP="00583FF0">
      <w:r>
        <w:continuationSeparator/>
      </w:r>
    </w:p>
  </w:footnote>
  <w:footnote w:type="continuationNotice" w:id="1">
    <w:p w14:paraId="58451E21" w14:textId="77777777" w:rsidR="00240820" w:rsidRDefault="00240820">
      <w:pPr>
        <w:spacing w:before="0" w:line="240" w:lineRule="auto"/>
      </w:pPr>
    </w:p>
  </w:footnote>
  <w:footnote w:id="2">
    <w:p w14:paraId="10A13E8B" w14:textId="77777777" w:rsidR="00240820" w:rsidRDefault="00240820" w:rsidP="00583FF0">
      <w:pPr>
        <w:pStyle w:val="Funotentext"/>
      </w:pPr>
      <w:r>
        <w:rPr>
          <w:rStyle w:val="Funotenzeichen"/>
        </w:rPr>
        <w:footnoteRef/>
      </w:r>
      <w:r>
        <w:t xml:space="preserve"> </w:t>
      </w:r>
      <w:proofErr w:type="spellStart"/>
      <w:r>
        <w:t>U</w:t>
      </w:r>
      <w:r w:rsidRPr="003A3A19">
        <w:rPr>
          <w:vertAlign w:val="subscript"/>
        </w:rPr>
        <w:t>max</w:t>
      </w:r>
      <w:proofErr w:type="spellEnd"/>
      <w:r>
        <w:t xml:space="preserve"> bezieht sich auf den U</w:t>
      </w:r>
      <w:r w:rsidRPr="003A3A19">
        <w:rPr>
          <w:vertAlign w:val="subscript"/>
        </w:rPr>
        <w:t>W</w:t>
      </w:r>
      <w:r>
        <w:t>-Wert</w:t>
      </w:r>
    </w:p>
  </w:footnote>
  <w:footnote w:id="3">
    <w:p w14:paraId="14E904D5" w14:textId="77777777" w:rsidR="00240820" w:rsidRDefault="00240820" w:rsidP="00583FF0">
      <w:pPr>
        <w:pStyle w:val="Funotentext"/>
      </w:pPr>
      <w:r>
        <w:rPr>
          <w:rStyle w:val="Funotenzeichen"/>
        </w:rPr>
        <w:footnoteRef/>
      </w:r>
      <w:r>
        <w:t xml:space="preserve"> Vorhangfassaden, deren Bauart in DIN Euronorm 12631:2018-01 beschrieben ist, U</w:t>
      </w:r>
      <w:r w:rsidRPr="003A3A19">
        <w:rPr>
          <w:vertAlign w:val="subscript"/>
        </w:rPr>
        <w:t>max</w:t>
      </w:r>
      <w:r>
        <w:t xml:space="preserve"> bezieht sich auf den U</w:t>
      </w:r>
      <w:r w:rsidRPr="003A3A19">
        <w:rPr>
          <w:vertAlign w:val="subscript"/>
        </w:rPr>
        <w:t>CW</w:t>
      </w:r>
      <w:r>
        <w:t>-Wert</w:t>
      </w:r>
    </w:p>
  </w:footnote>
  <w:footnote w:id="4">
    <w:p w14:paraId="4A6B2AE8" w14:textId="77777777" w:rsidR="00240820" w:rsidRDefault="00240820" w:rsidP="00583FF0">
      <w:pPr>
        <w:pStyle w:val="Funotentext"/>
      </w:pPr>
      <w:r>
        <w:rPr>
          <w:rStyle w:val="Funotenzeichen"/>
        </w:rPr>
        <w:footnoteRef/>
      </w:r>
      <w:r>
        <w:t xml:space="preserve"> U</w:t>
      </w:r>
      <w:r w:rsidRPr="003A3A19">
        <w:rPr>
          <w:vertAlign w:val="subscript"/>
        </w:rPr>
        <w:t>max</w:t>
      </w:r>
      <w:r>
        <w:t xml:space="preserve"> bezieht sich auf den U</w:t>
      </w:r>
      <w:r w:rsidRPr="003A3A19">
        <w:rPr>
          <w:vertAlign w:val="subscript"/>
        </w:rPr>
        <w:t>D</w:t>
      </w:r>
      <w:r>
        <w:t>-Wert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33C6B"/>
    <w:multiLevelType w:val="hybridMultilevel"/>
    <w:tmpl w:val="17A0CFE4"/>
    <w:lvl w:ilvl="0" w:tplc="1AAC9976">
      <w:start w:val="1"/>
      <w:numFmt w:val="bullet"/>
      <w:lvlText w:val="–"/>
      <w:lvlJc w:val="left"/>
      <w:pPr>
        <w:ind w:left="360" w:hanging="360"/>
      </w:pPr>
      <w:rPr>
        <w:rFonts w:ascii="Arial" w:eastAsia="Arial" w:hAnsi="Arial" w:cs="Arial"/>
      </w:rPr>
    </w:lvl>
    <w:lvl w:ilvl="1" w:tplc="B5F6479C">
      <w:start w:val="1"/>
      <w:numFmt w:val="bullet"/>
      <w:lvlText w:val="–"/>
      <w:lvlJc w:val="left"/>
      <w:pPr>
        <w:ind w:left="1080" w:hanging="360"/>
      </w:pPr>
      <w:rPr>
        <w:rFonts w:ascii="Arial" w:eastAsia="Arial" w:hAnsi="Arial" w:cs="Arial" w:hint="default"/>
      </w:rPr>
    </w:lvl>
    <w:lvl w:ilvl="2" w:tplc="C01A29F0">
      <w:start w:val="1"/>
      <w:numFmt w:val="bullet"/>
      <w:lvlText w:val=""/>
      <w:lvlJc w:val="left"/>
      <w:pPr>
        <w:ind w:left="1800" w:hanging="360"/>
      </w:pPr>
      <w:rPr>
        <w:rFonts w:ascii="Wingdings" w:hAnsi="Wingdings" w:hint="default"/>
      </w:rPr>
    </w:lvl>
    <w:lvl w:ilvl="3" w:tplc="635E9B9E">
      <w:start w:val="1"/>
      <w:numFmt w:val="bullet"/>
      <w:lvlText w:val=""/>
      <w:lvlJc w:val="left"/>
      <w:pPr>
        <w:ind w:left="2520" w:hanging="360"/>
      </w:pPr>
      <w:rPr>
        <w:rFonts w:ascii="Symbol" w:hAnsi="Symbol" w:hint="default"/>
      </w:rPr>
    </w:lvl>
    <w:lvl w:ilvl="4" w:tplc="7548D7C0">
      <w:start w:val="1"/>
      <w:numFmt w:val="bullet"/>
      <w:lvlText w:val="o"/>
      <w:lvlJc w:val="left"/>
      <w:pPr>
        <w:ind w:left="3240" w:hanging="360"/>
      </w:pPr>
      <w:rPr>
        <w:rFonts w:ascii="Courier New" w:hAnsi="Courier New" w:cs="Courier New" w:hint="default"/>
      </w:rPr>
    </w:lvl>
    <w:lvl w:ilvl="5" w:tplc="75883E02">
      <w:start w:val="1"/>
      <w:numFmt w:val="bullet"/>
      <w:lvlText w:val=""/>
      <w:lvlJc w:val="left"/>
      <w:pPr>
        <w:ind w:left="3960" w:hanging="360"/>
      </w:pPr>
      <w:rPr>
        <w:rFonts w:ascii="Wingdings" w:hAnsi="Wingdings" w:hint="default"/>
      </w:rPr>
    </w:lvl>
    <w:lvl w:ilvl="6" w:tplc="339A1406">
      <w:start w:val="1"/>
      <w:numFmt w:val="bullet"/>
      <w:lvlText w:val=""/>
      <w:lvlJc w:val="left"/>
      <w:pPr>
        <w:ind w:left="4680" w:hanging="360"/>
      </w:pPr>
      <w:rPr>
        <w:rFonts w:ascii="Symbol" w:hAnsi="Symbol" w:hint="default"/>
      </w:rPr>
    </w:lvl>
    <w:lvl w:ilvl="7" w:tplc="A5D8C604">
      <w:start w:val="1"/>
      <w:numFmt w:val="bullet"/>
      <w:lvlText w:val="o"/>
      <w:lvlJc w:val="left"/>
      <w:pPr>
        <w:ind w:left="5400" w:hanging="360"/>
      </w:pPr>
      <w:rPr>
        <w:rFonts w:ascii="Courier New" w:hAnsi="Courier New" w:cs="Courier New" w:hint="default"/>
      </w:rPr>
    </w:lvl>
    <w:lvl w:ilvl="8" w:tplc="1F6E028C">
      <w:start w:val="1"/>
      <w:numFmt w:val="bullet"/>
      <w:lvlText w:val=""/>
      <w:lvlJc w:val="left"/>
      <w:pPr>
        <w:ind w:left="6120" w:hanging="360"/>
      </w:pPr>
      <w:rPr>
        <w:rFonts w:ascii="Wingdings" w:hAnsi="Wingdings" w:hint="default"/>
      </w:rPr>
    </w:lvl>
  </w:abstractNum>
  <w:abstractNum w:abstractNumId="1" w15:restartNumberingAfterBreak="0">
    <w:nsid w:val="05263DA0"/>
    <w:multiLevelType w:val="hybridMultilevel"/>
    <w:tmpl w:val="AC9A301A"/>
    <w:lvl w:ilvl="0" w:tplc="78D27CA6">
      <w:start w:val="1"/>
      <w:numFmt w:val="bullet"/>
      <w:lvlText w:val="–"/>
      <w:lvlJc w:val="left"/>
      <w:pPr>
        <w:ind w:left="720" w:hanging="360"/>
      </w:pPr>
      <w:rPr>
        <w:rFonts w:ascii="Arial" w:eastAsia="Arial" w:hAnsi="Arial" w:cs="Arial"/>
        <w:color w:val="000000"/>
        <w:spacing w:val="2"/>
        <w:sz w:val="18"/>
        <w:vertAlign w:val="baseline"/>
        <w:lang w:val="de-D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C66F6F"/>
    <w:multiLevelType w:val="hybridMultilevel"/>
    <w:tmpl w:val="66B802A4"/>
    <w:lvl w:ilvl="0" w:tplc="D8D899E0">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BDE7267"/>
    <w:multiLevelType w:val="hybridMultilevel"/>
    <w:tmpl w:val="4B64D30E"/>
    <w:lvl w:ilvl="0" w:tplc="B2A875F0">
      <w:start w:val="1"/>
      <w:numFmt w:val="bullet"/>
      <w:lvlText w:val="–"/>
      <w:lvlJc w:val="left"/>
      <w:pPr>
        <w:ind w:left="720" w:hanging="360"/>
      </w:pPr>
      <w:rPr>
        <w:rFonts w:ascii="Arial" w:eastAsia="Arial" w:hAnsi="Arial" w:cs="Arial"/>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C9A2418"/>
    <w:multiLevelType w:val="hybridMultilevel"/>
    <w:tmpl w:val="B8402602"/>
    <w:lvl w:ilvl="0" w:tplc="1AAC9976">
      <w:start w:val="1"/>
      <w:numFmt w:val="bullet"/>
      <w:lvlText w:val="–"/>
      <w:lvlJc w:val="left"/>
      <w:pPr>
        <w:ind w:left="720" w:hanging="360"/>
      </w:pPr>
      <w:rPr>
        <w:rFonts w:ascii="Arial" w:eastAsia="Arial" w:hAnsi="Arial" w:cs="Arial"/>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CAE327B"/>
    <w:multiLevelType w:val="hybridMultilevel"/>
    <w:tmpl w:val="D1F65FF0"/>
    <w:lvl w:ilvl="0" w:tplc="B2A875F0">
      <w:start w:val="1"/>
      <w:numFmt w:val="bullet"/>
      <w:lvlText w:val="–"/>
      <w:lvlJc w:val="left"/>
      <w:pPr>
        <w:ind w:left="720" w:hanging="360"/>
      </w:pPr>
      <w:rPr>
        <w:rFonts w:ascii="Arial" w:eastAsia="Arial" w:hAnsi="Arial" w:cs="Arial"/>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D0C3E11"/>
    <w:multiLevelType w:val="hybridMultilevel"/>
    <w:tmpl w:val="8AF206B0"/>
    <w:lvl w:ilvl="0" w:tplc="B2A875F0">
      <w:start w:val="1"/>
      <w:numFmt w:val="bullet"/>
      <w:lvlText w:val="–"/>
      <w:lvlJc w:val="left"/>
      <w:pPr>
        <w:ind w:left="720" w:hanging="360"/>
      </w:pPr>
      <w:rPr>
        <w:rFonts w:ascii="Arial" w:eastAsia="Arial" w:hAnsi="Arial" w:cs="Arial"/>
      </w:rPr>
    </w:lvl>
    <w:lvl w:ilvl="1" w:tplc="1AAC9976">
      <w:start w:val="1"/>
      <w:numFmt w:val="bullet"/>
      <w:lvlText w:val="–"/>
      <w:lvlJc w:val="left"/>
      <w:pPr>
        <w:ind w:left="1440" w:hanging="360"/>
      </w:pPr>
      <w:rPr>
        <w:rFonts w:ascii="Arial" w:eastAsia="Arial" w:hAnsi="Arial"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0DC14741"/>
    <w:multiLevelType w:val="hybridMultilevel"/>
    <w:tmpl w:val="BA8C168A"/>
    <w:lvl w:ilvl="0" w:tplc="EC1C7FC6">
      <w:start w:val="1"/>
      <w:numFmt w:val="bullet"/>
      <w:lvlText w:val="–"/>
      <w:lvlJc w:val="left"/>
      <w:pPr>
        <w:ind w:left="360" w:hanging="360"/>
      </w:pPr>
      <w:rPr>
        <w:rFonts w:ascii="Arial" w:eastAsia="Arial" w:hAnsi="Arial" w:cs="Arial"/>
      </w:rPr>
    </w:lvl>
    <w:lvl w:ilvl="1" w:tplc="53626C16">
      <w:start w:val="1"/>
      <w:numFmt w:val="bullet"/>
      <w:lvlText w:val="–"/>
      <w:lvlJc w:val="left"/>
      <w:pPr>
        <w:ind w:left="1080" w:hanging="360"/>
      </w:pPr>
      <w:rPr>
        <w:rFonts w:ascii="Arial" w:eastAsia="Arial" w:hAnsi="Arial" w:cs="Arial" w:hint="default"/>
      </w:rPr>
    </w:lvl>
    <w:lvl w:ilvl="2" w:tplc="1AEE63A4">
      <w:start w:val="1"/>
      <w:numFmt w:val="bullet"/>
      <w:lvlText w:val=""/>
      <w:lvlJc w:val="left"/>
      <w:pPr>
        <w:ind w:left="1800" w:hanging="360"/>
      </w:pPr>
      <w:rPr>
        <w:rFonts w:ascii="Wingdings" w:hAnsi="Wingdings" w:hint="default"/>
      </w:rPr>
    </w:lvl>
    <w:lvl w:ilvl="3" w:tplc="F864BA56">
      <w:start w:val="1"/>
      <w:numFmt w:val="bullet"/>
      <w:lvlText w:val=""/>
      <w:lvlJc w:val="left"/>
      <w:pPr>
        <w:ind w:left="2520" w:hanging="360"/>
      </w:pPr>
      <w:rPr>
        <w:rFonts w:ascii="Symbol" w:hAnsi="Symbol" w:hint="default"/>
      </w:rPr>
    </w:lvl>
    <w:lvl w:ilvl="4" w:tplc="0CFEACAC">
      <w:start w:val="1"/>
      <w:numFmt w:val="bullet"/>
      <w:lvlText w:val="o"/>
      <w:lvlJc w:val="left"/>
      <w:pPr>
        <w:ind w:left="3240" w:hanging="360"/>
      </w:pPr>
      <w:rPr>
        <w:rFonts w:ascii="Courier New" w:hAnsi="Courier New" w:cs="Courier New" w:hint="default"/>
      </w:rPr>
    </w:lvl>
    <w:lvl w:ilvl="5" w:tplc="D2023580">
      <w:start w:val="1"/>
      <w:numFmt w:val="bullet"/>
      <w:lvlText w:val=""/>
      <w:lvlJc w:val="left"/>
      <w:pPr>
        <w:ind w:left="3960" w:hanging="360"/>
      </w:pPr>
      <w:rPr>
        <w:rFonts w:ascii="Wingdings" w:hAnsi="Wingdings" w:hint="default"/>
      </w:rPr>
    </w:lvl>
    <w:lvl w:ilvl="6" w:tplc="B9FCACC4">
      <w:start w:val="1"/>
      <w:numFmt w:val="bullet"/>
      <w:lvlText w:val=""/>
      <w:lvlJc w:val="left"/>
      <w:pPr>
        <w:ind w:left="4680" w:hanging="360"/>
      </w:pPr>
      <w:rPr>
        <w:rFonts w:ascii="Symbol" w:hAnsi="Symbol" w:hint="default"/>
      </w:rPr>
    </w:lvl>
    <w:lvl w:ilvl="7" w:tplc="69D46D24">
      <w:start w:val="1"/>
      <w:numFmt w:val="bullet"/>
      <w:lvlText w:val="o"/>
      <w:lvlJc w:val="left"/>
      <w:pPr>
        <w:ind w:left="5400" w:hanging="360"/>
      </w:pPr>
      <w:rPr>
        <w:rFonts w:ascii="Courier New" w:hAnsi="Courier New" w:cs="Courier New" w:hint="default"/>
      </w:rPr>
    </w:lvl>
    <w:lvl w:ilvl="8" w:tplc="7778D70A">
      <w:start w:val="1"/>
      <w:numFmt w:val="bullet"/>
      <w:lvlText w:val=""/>
      <w:lvlJc w:val="left"/>
      <w:pPr>
        <w:ind w:left="6120" w:hanging="360"/>
      </w:pPr>
      <w:rPr>
        <w:rFonts w:ascii="Wingdings" w:hAnsi="Wingdings" w:hint="default"/>
      </w:rPr>
    </w:lvl>
  </w:abstractNum>
  <w:abstractNum w:abstractNumId="8" w15:restartNumberingAfterBreak="0">
    <w:nsid w:val="17461534"/>
    <w:multiLevelType w:val="hybridMultilevel"/>
    <w:tmpl w:val="61D20E74"/>
    <w:lvl w:ilvl="0" w:tplc="DCAE9922">
      <w:start w:val="1"/>
      <w:numFmt w:val="bullet"/>
      <w:lvlText w:val="–"/>
      <w:lvlJc w:val="left"/>
      <w:pPr>
        <w:ind w:left="360" w:hanging="360"/>
      </w:pPr>
      <w:rPr>
        <w:rFonts w:ascii="Arial" w:eastAsia="Arial" w:hAnsi="Arial" w:cs="Arial" w:hint="default"/>
      </w:rPr>
    </w:lvl>
    <w:lvl w:ilvl="1" w:tplc="1754336E">
      <w:start w:val="1"/>
      <w:numFmt w:val="bullet"/>
      <w:lvlText w:val="o"/>
      <w:lvlJc w:val="left"/>
      <w:pPr>
        <w:ind w:left="1080" w:hanging="360"/>
      </w:pPr>
      <w:rPr>
        <w:rFonts w:ascii="Courier New" w:hAnsi="Courier New" w:cs="Courier New" w:hint="default"/>
      </w:rPr>
    </w:lvl>
    <w:lvl w:ilvl="2" w:tplc="84DEC16A">
      <w:start w:val="1"/>
      <w:numFmt w:val="bullet"/>
      <w:lvlText w:val=""/>
      <w:lvlJc w:val="left"/>
      <w:pPr>
        <w:ind w:left="1800" w:hanging="360"/>
      </w:pPr>
      <w:rPr>
        <w:rFonts w:ascii="Wingdings" w:hAnsi="Wingdings" w:hint="default"/>
      </w:rPr>
    </w:lvl>
    <w:lvl w:ilvl="3" w:tplc="A2982650">
      <w:start w:val="1"/>
      <w:numFmt w:val="bullet"/>
      <w:lvlText w:val=""/>
      <w:lvlJc w:val="left"/>
      <w:pPr>
        <w:ind w:left="2520" w:hanging="360"/>
      </w:pPr>
      <w:rPr>
        <w:rFonts w:ascii="Symbol" w:hAnsi="Symbol" w:hint="default"/>
      </w:rPr>
    </w:lvl>
    <w:lvl w:ilvl="4" w:tplc="4A226E6A">
      <w:start w:val="1"/>
      <w:numFmt w:val="bullet"/>
      <w:lvlText w:val="o"/>
      <w:lvlJc w:val="left"/>
      <w:pPr>
        <w:ind w:left="3240" w:hanging="360"/>
      </w:pPr>
      <w:rPr>
        <w:rFonts w:ascii="Courier New" w:hAnsi="Courier New" w:cs="Courier New" w:hint="default"/>
      </w:rPr>
    </w:lvl>
    <w:lvl w:ilvl="5" w:tplc="5564755E">
      <w:start w:val="1"/>
      <w:numFmt w:val="bullet"/>
      <w:lvlText w:val=""/>
      <w:lvlJc w:val="left"/>
      <w:pPr>
        <w:ind w:left="3960" w:hanging="360"/>
      </w:pPr>
      <w:rPr>
        <w:rFonts w:ascii="Wingdings" w:hAnsi="Wingdings" w:hint="default"/>
      </w:rPr>
    </w:lvl>
    <w:lvl w:ilvl="6" w:tplc="24DEB078">
      <w:start w:val="1"/>
      <w:numFmt w:val="bullet"/>
      <w:lvlText w:val=""/>
      <w:lvlJc w:val="left"/>
      <w:pPr>
        <w:ind w:left="4680" w:hanging="360"/>
      </w:pPr>
      <w:rPr>
        <w:rFonts w:ascii="Symbol" w:hAnsi="Symbol" w:hint="default"/>
      </w:rPr>
    </w:lvl>
    <w:lvl w:ilvl="7" w:tplc="605C00B2">
      <w:start w:val="1"/>
      <w:numFmt w:val="bullet"/>
      <w:lvlText w:val="o"/>
      <w:lvlJc w:val="left"/>
      <w:pPr>
        <w:ind w:left="5400" w:hanging="360"/>
      </w:pPr>
      <w:rPr>
        <w:rFonts w:ascii="Courier New" w:hAnsi="Courier New" w:cs="Courier New" w:hint="default"/>
      </w:rPr>
    </w:lvl>
    <w:lvl w:ilvl="8" w:tplc="021425A0">
      <w:start w:val="1"/>
      <w:numFmt w:val="bullet"/>
      <w:lvlText w:val=""/>
      <w:lvlJc w:val="left"/>
      <w:pPr>
        <w:ind w:left="6120" w:hanging="360"/>
      </w:pPr>
      <w:rPr>
        <w:rFonts w:ascii="Wingdings" w:hAnsi="Wingdings" w:hint="default"/>
      </w:rPr>
    </w:lvl>
  </w:abstractNum>
  <w:abstractNum w:abstractNumId="9" w15:restartNumberingAfterBreak="0">
    <w:nsid w:val="17530CA2"/>
    <w:multiLevelType w:val="hybridMultilevel"/>
    <w:tmpl w:val="BF16458E"/>
    <w:lvl w:ilvl="0" w:tplc="A5682F00">
      <w:start w:val="1"/>
      <w:numFmt w:val="bullet"/>
      <w:lvlText w:val="–"/>
      <w:lvlJc w:val="left"/>
      <w:pPr>
        <w:ind w:left="360" w:hanging="360"/>
      </w:pPr>
      <w:rPr>
        <w:rFonts w:ascii="Arial" w:eastAsia="Arial" w:hAnsi="Arial" w:cs="Arial" w:hint="default"/>
      </w:rPr>
    </w:lvl>
    <w:lvl w:ilvl="1" w:tplc="80D2679A">
      <w:start w:val="1"/>
      <w:numFmt w:val="bullet"/>
      <w:lvlText w:val="o"/>
      <w:lvlJc w:val="left"/>
      <w:pPr>
        <w:ind w:left="1080" w:hanging="360"/>
      </w:pPr>
      <w:rPr>
        <w:rFonts w:ascii="Courier New" w:hAnsi="Courier New" w:cs="Courier New" w:hint="default"/>
      </w:rPr>
    </w:lvl>
    <w:lvl w:ilvl="2" w:tplc="0D70FDA6">
      <w:start w:val="1"/>
      <w:numFmt w:val="bullet"/>
      <w:lvlText w:val=""/>
      <w:lvlJc w:val="left"/>
      <w:pPr>
        <w:ind w:left="1800" w:hanging="360"/>
      </w:pPr>
      <w:rPr>
        <w:rFonts w:ascii="Wingdings" w:hAnsi="Wingdings" w:hint="default"/>
      </w:rPr>
    </w:lvl>
    <w:lvl w:ilvl="3" w:tplc="72E2B136">
      <w:start w:val="1"/>
      <w:numFmt w:val="bullet"/>
      <w:lvlText w:val=""/>
      <w:lvlJc w:val="left"/>
      <w:pPr>
        <w:ind w:left="2520" w:hanging="360"/>
      </w:pPr>
      <w:rPr>
        <w:rFonts w:ascii="Symbol" w:hAnsi="Symbol" w:hint="default"/>
      </w:rPr>
    </w:lvl>
    <w:lvl w:ilvl="4" w:tplc="199E30DE">
      <w:start w:val="1"/>
      <w:numFmt w:val="bullet"/>
      <w:lvlText w:val="o"/>
      <w:lvlJc w:val="left"/>
      <w:pPr>
        <w:ind w:left="3240" w:hanging="360"/>
      </w:pPr>
      <w:rPr>
        <w:rFonts w:ascii="Courier New" w:hAnsi="Courier New" w:cs="Courier New" w:hint="default"/>
      </w:rPr>
    </w:lvl>
    <w:lvl w:ilvl="5" w:tplc="1AEC16F2">
      <w:start w:val="1"/>
      <w:numFmt w:val="bullet"/>
      <w:lvlText w:val=""/>
      <w:lvlJc w:val="left"/>
      <w:pPr>
        <w:ind w:left="3960" w:hanging="360"/>
      </w:pPr>
      <w:rPr>
        <w:rFonts w:ascii="Wingdings" w:hAnsi="Wingdings" w:hint="default"/>
      </w:rPr>
    </w:lvl>
    <w:lvl w:ilvl="6" w:tplc="80E67916">
      <w:start w:val="1"/>
      <w:numFmt w:val="bullet"/>
      <w:lvlText w:val=""/>
      <w:lvlJc w:val="left"/>
      <w:pPr>
        <w:ind w:left="4680" w:hanging="360"/>
      </w:pPr>
      <w:rPr>
        <w:rFonts w:ascii="Symbol" w:hAnsi="Symbol" w:hint="default"/>
      </w:rPr>
    </w:lvl>
    <w:lvl w:ilvl="7" w:tplc="A3EAE730">
      <w:start w:val="1"/>
      <w:numFmt w:val="bullet"/>
      <w:lvlText w:val="o"/>
      <w:lvlJc w:val="left"/>
      <w:pPr>
        <w:ind w:left="5400" w:hanging="360"/>
      </w:pPr>
      <w:rPr>
        <w:rFonts w:ascii="Courier New" w:hAnsi="Courier New" w:cs="Courier New" w:hint="default"/>
      </w:rPr>
    </w:lvl>
    <w:lvl w:ilvl="8" w:tplc="A6128AC6">
      <w:start w:val="1"/>
      <w:numFmt w:val="bullet"/>
      <w:lvlText w:val=""/>
      <w:lvlJc w:val="left"/>
      <w:pPr>
        <w:ind w:left="6120" w:hanging="360"/>
      </w:pPr>
      <w:rPr>
        <w:rFonts w:ascii="Wingdings" w:hAnsi="Wingdings" w:hint="default"/>
      </w:rPr>
    </w:lvl>
  </w:abstractNum>
  <w:abstractNum w:abstractNumId="10" w15:restartNumberingAfterBreak="0">
    <w:nsid w:val="175847C7"/>
    <w:multiLevelType w:val="hybridMultilevel"/>
    <w:tmpl w:val="A80C52A6"/>
    <w:lvl w:ilvl="0" w:tplc="B2A875F0">
      <w:start w:val="1"/>
      <w:numFmt w:val="bullet"/>
      <w:lvlText w:val="–"/>
      <w:lvlJc w:val="left"/>
      <w:pPr>
        <w:ind w:left="720" w:hanging="360"/>
      </w:pPr>
      <w:rPr>
        <w:rFonts w:ascii="Arial" w:eastAsia="Arial" w:hAnsi="Arial" w:cs="Arial"/>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DE80447"/>
    <w:multiLevelType w:val="hybridMultilevel"/>
    <w:tmpl w:val="90AEE60A"/>
    <w:lvl w:ilvl="0" w:tplc="8F44964E">
      <w:start w:val="1"/>
      <w:numFmt w:val="bullet"/>
      <w:lvlText w:val="–"/>
      <w:lvlJc w:val="left"/>
      <w:pPr>
        <w:ind w:left="360" w:hanging="360"/>
      </w:pPr>
      <w:rPr>
        <w:rFonts w:ascii="Arial" w:eastAsia="Arial" w:hAnsi="Arial" w:cs="Arial"/>
      </w:rPr>
    </w:lvl>
    <w:lvl w:ilvl="1" w:tplc="CA6AFDDE">
      <w:start w:val="1"/>
      <w:numFmt w:val="bullet"/>
      <w:lvlText w:val="–"/>
      <w:lvlJc w:val="left"/>
      <w:pPr>
        <w:ind w:left="1080" w:hanging="360"/>
      </w:pPr>
      <w:rPr>
        <w:rFonts w:ascii="Arial" w:eastAsia="Arial" w:hAnsi="Arial" w:cs="Arial" w:hint="default"/>
      </w:rPr>
    </w:lvl>
    <w:lvl w:ilvl="2" w:tplc="CCB6E91A">
      <w:start w:val="1"/>
      <w:numFmt w:val="bullet"/>
      <w:lvlText w:val=""/>
      <w:lvlJc w:val="left"/>
      <w:pPr>
        <w:ind w:left="1800" w:hanging="360"/>
      </w:pPr>
      <w:rPr>
        <w:rFonts w:ascii="Wingdings" w:hAnsi="Wingdings" w:hint="default"/>
      </w:rPr>
    </w:lvl>
    <w:lvl w:ilvl="3" w:tplc="07386252">
      <w:start w:val="1"/>
      <w:numFmt w:val="bullet"/>
      <w:lvlText w:val=""/>
      <w:lvlJc w:val="left"/>
      <w:pPr>
        <w:ind w:left="2520" w:hanging="360"/>
      </w:pPr>
      <w:rPr>
        <w:rFonts w:ascii="Symbol" w:hAnsi="Symbol" w:hint="default"/>
      </w:rPr>
    </w:lvl>
    <w:lvl w:ilvl="4" w:tplc="416E639C">
      <w:start w:val="1"/>
      <w:numFmt w:val="bullet"/>
      <w:lvlText w:val="o"/>
      <w:lvlJc w:val="left"/>
      <w:pPr>
        <w:ind w:left="3240" w:hanging="360"/>
      </w:pPr>
      <w:rPr>
        <w:rFonts w:ascii="Courier New" w:hAnsi="Courier New" w:cs="Courier New" w:hint="default"/>
      </w:rPr>
    </w:lvl>
    <w:lvl w:ilvl="5" w:tplc="DB807998">
      <w:start w:val="1"/>
      <w:numFmt w:val="bullet"/>
      <w:lvlText w:val=""/>
      <w:lvlJc w:val="left"/>
      <w:pPr>
        <w:ind w:left="3960" w:hanging="360"/>
      </w:pPr>
      <w:rPr>
        <w:rFonts w:ascii="Wingdings" w:hAnsi="Wingdings" w:hint="default"/>
      </w:rPr>
    </w:lvl>
    <w:lvl w:ilvl="6" w:tplc="1C3A1CBE">
      <w:start w:val="1"/>
      <w:numFmt w:val="bullet"/>
      <w:lvlText w:val=""/>
      <w:lvlJc w:val="left"/>
      <w:pPr>
        <w:ind w:left="4680" w:hanging="360"/>
      </w:pPr>
      <w:rPr>
        <w:rFonts w:ascii="Symbol" w:hAnsi="Symbol" w:hint="default"/>
      </w:rPr>
    </w:lvl>
    <w:lvl w:ilvl="7" w:tplc="0DA82FD6">
      <w:start w:val="1"/>
      <w:numFmt w:val="bullet"/>
      <w:lvlText w:val="o"/>
      <w:lvlJc w:val="left"/>
      <w:pPr>
        <w:ind w:left="5400" w:hanging="360"/>
      </w:pPr>
      <w:rPr>
        <w:rFonts w:ascii="Courier New" w:hAnsi="Courier New" w:cs="Courier New" w:hint="default"/>
      </w:rPr>
    </w:lvl>
    <w:lvl w:ilvl="8" w:tplc="8F26428C">
      <w:start w:val="1"/>
      <w:numFmt w:val="bullet"/>
      <w:lvlText w:val=""/>
      <w:lvlJc w:val="left"/>
      <w:pPr>
        <w:ind w:left="6120" w:hanging="360"/>
      </w:pPr>
      <w:rPr>
        <w:rFonts w:ascii="Wingdings" w:hAnsi="Wingdings" w:hint="default"/>
      </w:rPr>
    </w:lvl>
  </w:abstractNum>
  <w:abstractNum w:abstractNumId="12" w15:restartNumberingAfterBreak="0">
    <w:nsid w:val="20604472"/>
    <w:multiLevelType w:val="hybridMultilevel"/>
    <w:tmpl w:val="1FC2BB1E"/>
    <w:lvl w:ilvl="0" w:tplc="D8D899E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07725BE"/>
    <w:multiLevelType w:val="hybridMultilevel"/>
    <w:tmpl w:val="4B1E39A8"/>
    <w:lvl w:ilvl="0" w:tplc="B2A875F0">
      <w:start w:val="1"/>
      <w:numFmt w:val="bullet"/>
      <w:lvlText w:val="–"/>
      <w:lvlJc w:val="left"/>
      <w:pPr>
        <w:ind w:left="720" w:hanging="360"/>
      </w:pPr>
      <w:rPr>
        <w:rFonts w:ascii="Arial" w:eastAsia="Arial" w:hAnsi="Arial" w:cs="Arial"/>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47A0E5C"/>
    <w:multiLevelType w:val="multilevel"/>
    <w:tmpl w:val="9EAA5CE0"/>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5" w15:restartNumberingAfterBreak="0">
    <w:nsid w:val="28853CFA"/>
    <w:multiLevelType w:val="hybridMultilevel"/>
    <w:tmpl w:val="ECD43D20"/>
    <w:lvl w:ilvl="0" w:tplc="7ADE0B18">
      <w:start w:val="13"/>
      <w:numFmt w:val="lowerLetter"/>
      <w:lvlText w:val="%1)"/>
      <w:lvlJc w:val="left"/>
      <w:pPr>
        <w:tabs>
          <w:tab w:val="left" w:pos="216"/>
        </w:tabs>
      </w:pPr>
      <w:rPr>
        <w:rFonts w:ascii="Arial" w:eastAsia="Arial" w:hAnsi="Arial"/>
        <w:color w:val="000000"/>
        <w:spacing w:val="0"/>
        <w:sz w:val="18"/>
        <w:vertAlign w:val="baseline"/>
        <w:lang w:val="de-DE"/>
      </w:rPr>
    </w:lvl>
    <w:lvl w:ilvl="1" w:tplc="F05EF0B2">
      <w:start w:val="1"/>
      <w:numFmt w:val="decimal"/>
      <w:lvlText w:val=""/>
      <w:lvlJc w:val="left"/>
    </w:lvl>
    <w:lvl w:ilvl="2" w:tplc="A3E8923E">
      <w:start w:val="1"/>
      <w:numFmt w:val="decimal"/>
      <w:lvlText w:val=""/>
      <w:lvlJc w:val="left"/>
    </w:lvl>
    <w:lvl w:ilvl="3" w:tplc="CF244F2E">
      <w:start w:val="1"/>
      <w:numFmt w:val="decimal"/>
      <w:lvlText w:val=""/>
      <w:lvlJc w:val="left"/>
    </w:lvl>
    <w:lvl w:ilvl="4" w:tplc="0F8E2A2A">
      <w:start w:val="1"/>
      <w:numFmt w:val="decimal"/>
      <w:lvlText w:val=""/>
      <w:lvlJc w:val="left"/>
    </w:lvl>
    <w:lvl w:ilvl="5" w:tplc="0BCC0754">
      <w:start w:val="1"/>
      <w:numFmt w:val="decimal"/>
      <w:lvlText w:val=""/>
      <w:lvlJc w:val="left"/>
    </w:lvl>
    <w:lvl w:ilvl="6" w:tplc="73C48196">
      <w:start w:val="1"/>
      <w:numFmt w:val="decimal"/>
      <w:lvlText w:val=""/>
      <w:lvlJc w:val="left"/>
    </w:lvl>
    <w:lvl w:ilvl="7" w:tplc="F81261E8">
      <w:start w:val="1"/>
      <w:numFmt w:val="decimal"/>
      <w:lvlText w:val=""/>
      <w:lvlJc w:val="left"/>
    </w:lvl>
    <w:lvl w:ilvl="8" w:tplc="81003E7A">
      <w:start w:val="1"/>
      <w:numFmt w:val="decimal"/>
      <w:lvlText w:val=""/>
      <w:lvlJc w:val="left"/>
    </w:lvl>
  </w:abstractNum>
  <w:abstractNum w:abstractNumId="16" w15:restartNumberingAfterBreak="0">
    <w:nsid w:val="2B773BCB"/>
    <w:multiLevelType w:val="hybridMultilevel"/>
    <w:tmpl w:val="1CFC750E"/>
    <w:lvl w:ilvl="0" w:tplc="4EA46C42">
      <w:start w:val="1"/>
      <w:numFmt w:val="bullet"/>
      <w:lvlText w:val="–"/>
      <w:lvlJc w:val="left"/>
      <w:pPr>
        <w:ind w:left="720" w:hanging="360"/>
      </w:pPr>
      <w:rPr>
        <w:rFonts w:ascii="Arial" w:eastAsia="Arial" w:hAnsi="Arial" w:cs="Arial"/>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55F380F"/>
    <w:multiLevelType w:val="hybridMultilevel"/>
    <w:tmpl w:val="B27258E4"/>
    <w:lvl w:ilvl="0" w:tplc="B2A875F0">
      <w:start w:val="1"/>
      <w:numFmt w:val="bullet"/>
      <w:lvlText w:val="–"/>
      <w:lvlJc w:val="left"/>
      <w:pPr>
        <w:ind w:left="720" w:hanging="360"/>
      </w:pPr>
      <w:rPr>
        <w:rFonts w:ascii="Arial" w:eastAsia="Arial" w:hAnsi="Arial" w:cs="Arial"/>
      </w:rPr>
    </w:lvl>
    <w:lvl w:ilvl="1" w:tplc="1AAC9976">
      <w:start w:val="1"/>
      <w:numFmt w:val="bullet"/>
      <w:lvlText w:val="–"/>
      <w:lvlJc w:val="left"/>
      <w:pPr>
        <w:ind w:left="1440" w:hanging="360"/>
      </w:pPr>
      <w:rPr>
        <w:rFonts w:ascii="Arial" w:eastAsia="Arial" w:hAnsi="Arial" w:cs="Arial"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6191CF0"/>
    <w:multiLevelType w:val="hybridMultilevel"/>
    <w:tmpl w:val="081EBEBC"/>
    <w:lvl w:ilvl="0" w:tplc="B2A875F0">
      <w:start w:val="1"/>
      <w:numFmt w:val="bullet"/>
      <w:lvlText w:val="–"/>
      <w:lvlJc w:val="left"/>
      <w:pPr>
        <w:ind w:left="720" w:hanging="360"/>
      </w:pPr>
      <w:rPr>
        <w:rFonts w:ascii="Arial" w:eastAsia="Arial" w:hAnsi="Arial" w:cs="Arial"/>
      </w:rPr>
    </w:lvl>
    <w:lvl w:ilvl="1" w:tplc="C32ADC8C">
      <w:numFmt w:val="bullet"/>
      <w:lvlText w:val="-"/>
      <w:lvlJc w:val="left"/>
      <w:pPr>
        <w:ind w:left="1440" w:hanging="360"/>
      </w:pPr>
      <w:rPr>
        <w:rFonts w:ascii="Arial" w:eastAsia="Arial" w:hAnsi="Arial"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9E54516"/>
    <w:multiLevelType w:val="hybridMultilevel"/>
    <w:tmpl w:val="21C04688"/>
    <w:lvl w:ilvl="0" w:tplc="B2A875F0">
      <w:start w:val="1"/>
      <w:numFmt w:val="bullet"/>
      <w:lvlText w:val="–"/>
      <w:lvlJc w:val="left"/>
      <w:pPr>
        <w:ind w:left="720" w:hanging="360"/>
      </w:pPr>
      <w:rPr>
        <w:rFonts w:ascii="Arial" w:eastAsia="Arial" w:hAnsi="Arial" w:cs="Arial"/>
      </w:rPr>
    </w:lvl>
    <w:lvl w:ilvl="1" w:tplc="78D27CA6">
      <w:start w:val="1"/>
      <w:numFmt w:val="bullet"/>
      <w:lvlText w:val="–"/>
      <w:lvlJc w:val="left"/>
      <w:pPr>
        <w:ind w:left="1440" w:hanging="360"/>
      </w:pPr>
      <w:rPr>
        <w:rFonts w:ascii="Arial" w:eastAsia="Arial" w:hAnsi="Arial" w:cs="Arial" w:hint="default"/>
        <w:color w:val="000000"/>
        <w:spacing w:val="2"/>
        <w:sz w:val="18"/>
        <w:vertAlign w:val="baseline"/>
        <w:lang w:val="de-DE"/>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CDF65F7"/>
    <w:multiLevelType w:val="hybridMultilevel"/>
    <w:tmpl w:val="18DE6784"/>
    <w:lvl w:ilvl="0" w:tplc="B2A875F0">
      <w:start w:val="1"/>
      <w:numFmt w:val="bullet"/>
      <w:lvlText w:val="–"/>
      <w:lvlJc w:val="left"/>
      <w:pPr>
        <w:ind w:left="720" w:hanging="360"/>
      </w:pPr>
      <w:rPr>
        <w:rFonts w:ascii="Arial" w:eastAsia="Arial" w:hAnsi="Arial" w:cs="Arial"/>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FF30B43"/>
    <w:multiLevelType w:val="hybridMultilevel"/>
    <w:tmpl w:val="5268B808"/>
    <w:lvl w:ilvl="0" w:tplc="9AA4ED3A">
      <w:start w:val="1"/>
      <w:numFmt w:val="bullet"/>
      <w:lvlText w:val="–"/>
      <w:lvlJc w:val="left"/>
      <w:pPr>
        <w:ind w:left="360" w:hanging="360"/>
      </w:pPr>
      <w:rPr>
        <w:rFonts w:ascii="Arial" w:eastAsia="Arial" w:hAnsi="Arial" w:cs="Arial" w:hint="default"/>
      </w:rPr>
    </w:lvl>
    <w:lvl w:ilvl="1" w:tplc="7F0EA1D8">
      <w:start w:val="1"/>
      <w:numFmt w:val="bullet"/>
      <w:lvlText w:val="o"/>
      <w:lvlJc w:val="left"/>
      <w:pPr>
        <w:ind w:left="1080" w:hanging="360"/>
      </w:pPr>
      <w:rPr>
        <w:rFonts w:ascii="Courier New" w:hAnsi="Courier New" w:cs="Courier New" w:hint="default"/>
      </w:rPr>
    </w:lvl>
    <w:lvl w:ilvl="2" w:tplc="56B27F9C">
      <w:start w:val="1"/>
      <w:numFmt w:val="bullet"/>
      <w:lvlText w:val=""/>
      <w:lvlJc w:val="left"/>
      <w:pPr>
        <w:ind w:left="1800" w:hanging="360"/>
      </w:pPr>
      <w:rPr>
        <w:rFonts w:ascii="Wingdings" w:hAnsi="Wingdings" w:hint="default"/>
      </w:rPr>
    </w:lvl>
    <w:lvl w:ilvl="3" w:tplc="197E49C0">
      <w:start w:val="1"/>
      <w:numFmt w:val="bullet"/>
      <w:lvlText w:val=""/>
      <w:lvlJc w:val="left"/>
      <w:pPr>
        <w:ind w:left="2520" w:hanging="360"/>
      </w:pPr>
      <w:rPr>
        <w:rFonts w:ascii="Symbol" w:hAnsi="Symbol" w:hint="default"/>
      </w:rPr>
    </w:lvl>
    <w:lvl w:ilvl="4" w:tplc="DC6A798C">
      <w:start w:val="1"/>
      <w:numFmt w:val="bullet"/>
      <w:lvlText w:val="o"/>
      <w:lvlJc w:val="left"/>
      <w:pPr>
        <w:ind w:left="3240" w:hanging="360"/>
      </w:pPr>
      <w:rPr>
        <w:rFonts w:ascii="Courier New" w:hAnsi="Courier New" w:cs="Courier New" w:hint="default"/>
      </w:rPr>
    </w:lvl>
    <w:lvl w:ilvl="5" w:tplc="816A376C">
      <w:start w:val="1"/>
      <w:numFmt w:val="bullet"/>
      <w:lvlText w:val=""/>
      <w:lvlJc w:val="left"/>
      <w:pPr>
        <w:ind w:left="3960" w:hanging="360"/>
      </w:pPr>
      <w:rPr>
        <w:rFonts w:ascii="Wingdings" w:hAnsi="Wingdings" w:hint="default"/>
      </w:rPr>
    </w:lvl>
    <w:lvl w:ilvl="6" w:tplc="B71C3016">
      <w:start w:val="1"/>
      <w:numFmt w:val="bullet"/>
      <w:lvlText w:val=""/>
      <w:lvlJc w:val="left"/>
      <w:pPr>
        <w:ind w:left="4680" w:hanging="360"/>
      </w:pPr>
      <w:rPr>
        <w:rFonts w:ascii="Symbol" w:hAnsi="Symbol" w:hint="default"/>
      </w:rPr>
    </w:lvl>
    <w:lvl w:ilvl="7" w:tplc="18D4E37C">
      <w:start w:val="1"/>
      <w:numFmt w:val="bullet"/>
      <w:lvlText w:val="o"/>
      <w:lvlJc w:val="left"/>
      <w:pPr>
        <w:ind w:left="5400" w:hanging="360"/>
      </w:pPr>
      <w:rPr>
        <w:rFonts w:ascii="Courier New" w:hAnsi="Courier New" w:cs="Courier New" w:hint="default"/>
      </w:rPr>
    </w:lvl>
    <w:lvl w:ilvl="8" w:tplc="91EECB66">
      <w:start w:val="1"/>
      <w:numFmt w:val="bullet"/>
      <w:lvlText w:val=""/>
      <w:lvlJc w:val="left"/>
      <w:pPr>
        <w:ind w:left="6120" w:hanging="360"/>
      </w:pPr>
      <w:rPr>
        <w:rFonts w:ascii="Wingdings" w:hAnsi="Wingdings" w:hint="default"/>
      </w:rPr>
    </w:lvl>
  </w:abstractNum>
  <w:abstractNum w:abstractNumId="22" w15:restartNumberingAfterBreak="0">
    <w:nsid w:val="44C912A7"/>
    <w:multiLevelType w:val="hybridMultilevel"/>
    <w:tmpl w:val="7A8A831A"/>
    <w:lvl w:ilvl="0" w:tplc="1AAC9976">
      <w:start w:val="1"/>
      <w:numFmt w:val="bullet"/>
      <w:lvlText w:val="–"/>
      <w:lvlJc w:val="left"/>
      <w:pPr>
        <w:ind w:left="720" w:hanging="360"/>
      </w:pPr>
      <w:rPr>
        <w:rFonts w:ascii="Arial" w:eastAsia="Arial" w:hAnsi="Arial" w:cs="Arial"/>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58000F9"/>
    <w:multiLevelType w:val="hybridMultilevel"/>
    <w:tmpl w:val="4AFAB642"/>
    <w:lvl w:ilvl="0" w:tplc="B2A875F0">
      <w:start w:val="1"/>
      <w:numFmt w:val="bullet"/>
      <w:lvlText w:val="–"/>
      <w:lvlJc w:val="left"/>
      <w:pPr>
        <w:ind w:left="720" w:hanging="360"/>
      </w:pPr>
      <w:rPr>
        <w:rFonts w:ascii="Arial" w:eastAsia="Arial" w:hAnsi="Arial" w:cs="Arial"/>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9F46D12"/>
    <w:multiLevelType w:val="hybridMultilevel"/>
    <w:tmpl w:val="1332E462"/>
    <w:lvl w:ilvl="0" w:tplc="B2A875F0">
      <w:start w:val="1"/>
      <w:numFmt w:val="bullet"/>
      <w:lvlText w:val="–"/>
      <w:lvlJc w:val="left"/>
      <w:pPr>
        <w:ind w:left="720" w:hanging="360"/>
      </w:pPr>
      <w:rPr>
        <w:rFonts w:ascii="Arial" w:eastAsia="Arial" w:hAnsi="Arial" w:cs="Arial"/>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A2A6656"/>
    <w:multiLevelType w:val="hybridMultilevel"/>
    <w:tmpl w:val="AD1EE7FE"/>
    <w:lvl w:ilvl="0" w:tplc="25405B02">
      <w:numFmt w:val="bullet"/>
      <w:lvlText w:val="–"/>
      <w:lvlJc w:val="left"/>
      <w:pPr>
        <w:ind w:left="720" w:hanging="360"/>
      </w:pPr>
      <w:rPr>
        <w:rFonts w:ascii="Arial" w:eastAsia="Arial"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4C6A3434"/>
    <w:multiLevelType w:val="hybridMultilevel"/>
    <w:tmpl w:val="CDDAAA70"/>
    <w:lvl w:ilvl="0" w:tplc="2480A762">
      <w:start w:val="1"/>
      <w:numFmt w:val="lowerLetter"/>
      <w:lvlText w:val="%1)"/>
      <w:lvlJc w:val="left"/>
      <w:pPr>
        <w:tabs>
          <w:tab w:val="left" w:pos="216"/>
        </w:tabs>
      </w:pPr>
      <w:rPr>
        <w:rFonts w:ascii="Arial" w:eastAsia="Arial" w:hAnsi="Arial"/>
        <w:color w:val="000000"/>
        <w:spacing w:val="1"/>
        <w:sz w:val="18"/>
        <w:vertAlign w:val="baseline"/>
        <w:lang w:val="de-DE"/>
      </w:rPr>
    </w:lvl>
    <w:lvl w:ilvl="1" w:tplc="CEA0630A">
      <w:start w:val="1"/>
      <w:numFmt w:val="decimal"/>
      <w:lvlText w:val=""/>
      <w:lvlJc w:val="left"/>
    </w:lvl>
    <w:lvl w:ilvl="2" w:tplc="05CE2224">
      <w:start w:val="1"/>
      <w:numFmt w:val="decimal"/>
      <w:lvlText w:val=""/>
      <w:lvlJc w:val="left"/>
    </w:lvl>
    <w:lvl w:ilvl="3" w:tplc="3364DB72">
      <w:start w:val="1"/>
      <w:numFmt w:val="decimal"/>
      <w:lvlText w:val=""/>
      <w:lvlJc w:val="left"/>
    </w:lvl>
    <w:lvl w:ilvl="4" w:tplc="377AAC48">
      <w:start w:val="1"/>
      <w:numFmt w:val="decimal"/>
      <w:lvlText w:val=""/>
      <w:lvlJc w:val="left"/>
    </w:lvl>
    <w:lvl w:ilvl="5" w:tplc="D0B2D16A">
      <w:start w:val="1"/>
      <w:numFmt w:val="decimal"/>
      <w:lvlText w:val=""/>
      <w:lvlJc w:val="left"/>
    </w:lvl>
    <w:lvl w:ilvl="6" w:tplc="69704512">
      <w:start w:val="1"/>
      <w:numFmt w:val="decimal"/>
      <w:lvlText w:val=""/>
      <w:lvlJc w:val="left"/>
    </w:lvl>
    <w:lvl w:ilvl="7" w:tplc="574ECF5A">
      <w:start w:val="1"/>
      <w:numFmt w:val="decimal"/>
      <w:lvlText w:val=""/>
      <w:lvlJc w:val="left"/>
    </w:lvl>
    <w:lvl w:ilvl="8" w:tplc="6E22A018">
      <w:start w:val="1"/>
      <w:numFmt w:val="decimal"/>
      <w:lvlText w:val=""/>
      <w:lvlJc w:val="left"/>
    </w:lvl>
  </w:abstractNum>
  <w:abstractNum w:abstractNumId="27" w15:restartNumberingAfterBreak="0">
    <w:nsid w:val="4CAB76FF"/>
    <w:multiLevelType w:val="hybridMultilevel"/>
    <w:tmpl w:val="EA3A73AC"/>
    <w:lvl w:ilvl="0" w:tplc="B2A875F0">
      <w:start w:val="1"/>
      <w:numFmt w:val="bullet"/>
      <w:lvlText w:val="–"/>
      <w:lvlJc w:val="left"/>
      <w:pPr>
        <w:ind w:left="720" w:hanging="360"/>
      </w:pPr>
      <w:rPr>
        <w:rFonts w:ascii="Arial" w:eastAsia="Arial" w:hAnsi="Arial" w:cs="Arial"/>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4D96291D"/>
    <w:multiLevelType w:val="hybridMultilevel"/>
    <w:tmpl w:val="F89AB182"/>
    <w:lvl w:ilvl="0" w:tplc="B2A875F0">
      <w:start w:val="1"/>
      <w:numFmt w:val="bullet"/>
      <w:lvlText w:val="–"/>
      <w:lvlJc w:val="left"/>
      <w:pPr>
        <w:ind w:left="720" w:hanging="360"/>
      </w:pPr>
      <w:rPr>
        <w:rFonts w:ascii="Arial" w:eastAsia="Arial" w:hAnsi="Arial" w:cs="Arial"/>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18A59C0"/>
    <w:multiLevelType w:val="hybridMultilevel"/>
    <w:tmpl w:val="C2A0FE0E"/>
    <w:lvl w:ilvl="0" w:tplc="111A5D4E">
      <w:start w:val="1"/>
      <w:numFmt w:val="lowerLetter"/>
      <w:lvlText w:val="%1)"/>
      <w:lvlJc w:val="left"/>
      <w:pPr>
        <w:tabs>
          <w:tab w:val="left" w:pos="216"/>
        </w:tabs>
      </w:pPr>
      <w:rPr>
        <w:rFonts w:ascii="Arial" w:eastAsia="Arial" w:hAnsi="Arial"/>
        <w:color w:val="000000"/>
        <w:spacing w:val="0"/>
        <w:sz w:val="18"/>
        <w:vertAlign w:val="baseline"/>
        <w:lang w:val="de-DE"/>
      </w:rPr>
    </w:lvl>
    <w:lvl w:ilvl="1" w:tplc="E01AF256">
      <w:start w:val="1"/>
      <w:numFmt w:val="decimal"/>
      <w:lvlText w:val=""/>
      <w:lvlJc w:val="left"/>
    </w:lvl>
    <w:lvl w:ilvl="2" w:tplc="6A329946">
      <w:start w:val="1"/>
      <w:numFmt w:val="decimal"/>
      <w:lvlText w:val=""/>
      <w:lvlJc w:val="left"/>
    </w:lvl>
    <w:lvl w:ilvl="3" w:tplc="8E26DE6A">
      <w:start w:val="1"/>
      <w:numFmt w:val="decimal"/>
      <w:lvlText w:val=""/>
      <w:lvlJc w:val="left"/>
    </w:lvl>
    <w:lvl w:ilvl="4" w:tplc="2F9491D2">
      <w:start w:val="1"/>
      <w:numFmt w:val="decimal"/>
      <w:lvlText w:val=""/>
      <w:lvlJc w:val="left"/>
    </w:lvl>
    <w:lvl w:ilvl="5" w:tplc="BA80332A">
      <w:start w:val="1"/>
      <w:numFmt w:val="decimal"/>
      <w:lvlText w:val=""/>
      <w:lvlJc w:val="left"/>
    </w:lvl>
    <w:lvl w:ilvl="6" w:tplc="370ACF30">
      <w:start w:val="1"/>
      <w:numFmt w:val="decimal"/>
      <w:lvlText w:val=""/>
      <w:lvlJc w:val="left"/>
    </w:lvl>
    <w:lvl w:ilvl="7" w:tplc="0C22DA9A">
      <w:start w:val="1"/>
      <w:numFmt w:val="decimal"/>
      <w:lvlText w:val=""/>
      <w:lvlJc w:val="left"/>
    </w:lvl>
    <w:lvl w:ilvl="8" w:tplc="FD22B604">
      <w:start w:val="1"/>
      <w:numFmt w:val="decimal"/>
      <w:lvlText w:val=""/>
      <w:lvlJc w:val="left"/>
    </w:lvl>
  </w:abstractNum>
  <w:abstractNum w:abstractNumId="30" w15:restartNumberingAfterBreak="0">
    <w:nsid w:val="51D05A4F"/>
    <w:multiLevelType w:val="hybridMultilevel"/>
    <w:tmpl w:val="B51217FC"/>
    <w:lvl w:ilvl="0" w:tplc="882462D0">
      <w:start w:val="1"/>
      <w:numFmt w:val="lowerLetter"/>
      <w:lvlText w:val="%1)"/>
      <w:lvlJc w:val="left"/>
      <w:pPr>
        <w:tabs>
          <w:tab w:val="left" w:pos="216"/>
        </w:tabs>
      </w:pPr>
      <w:rPr>
        <w:rFonts w:ascii="Arial" w:eastAsia="Arial" w:hAnsi="Arial"/>
        <w:color w:val="000000"/>
        <w:spacing w:val="1"/>
        <w:sz w:val="18"/>
        <w:vertAlign w:val="baseline"/>
        <w:lang w:val="de-DE"/>
      </w:rPr>
    </w:lvl>
    <w:lvl w:ilvl="1" w:tplc="39248F2C">
      <w:start w:val="1"/>
      <w:numFmt w:val="decimal"/>
      <w:lvlText w:val=""/>
      <w:lvlJc w:val="left"/>
    </w:lvl>
    <w:lvl w:ilvl="2" w:tplc="315E4A1A">
      <w:start w:val="1"/>
      <w:numFmt w:val="decimal"/>
      <w:lvlText w:val=""/>
      <w:lvlJc w:val="left"/>
    </w:lvl>
    <w:lvl w:ilvl="3" w:tplc="1B060260">
      <w:start w:val="1"/>
      <w:numFmt w:val="decimal"/>
      <w:lvlText w:val=""/>
      <w:lvlJc w:val="left"/>
    </w:lvl>
    <w:lvl w:ilvl="4" w:tplc="7C3EF76E">
      <w:start w:val="1"/>
      <w:numFmt w:val="decimal"/>
      <w:lvlText w:val=""/>
      <w:lvlJc w:val="left"/>
    </w:lvl>
    <w:lvl w:ilvl="5" w:tplc="FD1E2AC6">
      <w:start w:val="1"/>
      <w:numFmt w:val="decimal"/>
      <w:lvlText w:val=""/>
      <w:lvlJc w:val="left"/>
    </w:lvl>
    <w:lvl w:ilvl="6" w:tplc="62D62DD8">
      <w:start w:val="1"/>
      <w:numFmt w:val="decimal"/>
      <w:lvlText w:val=""/>
      <w:lvlJc w:val="left"/>
    </w:lvl>
    <w:lvl w:ilvl="7" w:tplc="1DA81FD0">
      <w:start w:val="1"/>
      <w:numFmt w:val="decimal"/>
      <w:lvlText w:val=""/>
      <w:lvlJc w:val="left"/>
    </w:lvl>
    <w:lvl w:ilvl="8" w:tplc="DA4AE46E">
      <w:start w:val="1"/>
      <w:numFmt w:val="decimal"/>
      <w:lvlText w:val=""/>
      <w:lvlJc w:val="left"/>
    </w:lvl>
  </w:abstractNum>
  <w:abstractNum w:abstractNumId="31" w15:restartNumberingAfterBreak="0">
    <w:nsid w:val="579C3E2F"/>
    <w:multiLevelType w:val="hybridMultilevel"/>
    <w:tmpl w:val="A7782F3E"/>
    <w:lvl w:ilvl="0" w:tplc="B2A875F0">
      <w:start w:val="1"/>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0D1776E"/>
    <w:multiLevelType w:val="hybridMultilevel"/>
    <w:tmpl w:val="1EA88B42"/>
    <w:lvl w:ilvl="0" w:tplc="B2A875F0">
      <w:start w:val="1"/>
      <w:numFmt w:val="bullet"/>
      <w:lvlText w:val="–"/>
      <w:lvlJc w:val="left"/>
      <w:pPr>
        <w:ind w:left="720" w:hanging="360"/>
      </w:pPr>
      <w:rPr>
        <w:rFonts w:ascii="Arial" w:eastAsia="Arial" w:hAnsi="Arial" w:cs="Arial"/>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2797F31"/>
    <w:multiLevelType w:val="hybridMultilevel"/>
    <w:tmpl w:val="80EA3124"/>
    <w:lvl w:ilvl="0" w:tplc="B2A875F0">
      <w:start w:val="1"/>
      <w:numFmt w:val="bullet"/>
      <w:lvlText w:val="–"/>
      <w:lvlJc w:val="left"/>
      <w:pPr>
        <w:ind w:left="720" w:hanging="360"/>
      </w:pPr>
      <w:rPr>
        <w:rFonts w:ascii="Arial" w:eastAsia="Arial" w:hAnsi="Arial" w:cs="Arial"/>
      </w:rPr>
    </w:lvl>
    <w:lvl w:ilvl="1" w:tplc="78D27CA6">
      <w:start w:val="1"/>
      <w:numFmt w:val="bullet"/>
      <w:lvlText w:val="–"/>
      <w:lvlJc w:val="left"/>
      <w:pPr>
        <w:ind w:left="1440" w:hanging="360"/>
      </w:pPr>
      <w:rPr>
        <w:rFonts w:ascii="Arial" w:eastAsia="Arial" w:hAnsi="Arial" w:cs="Arial" w:hint="default"/>
        <w:color w:val="000000"/>
        <w:spacing w:val="2"/>
        <w:sz w:val="18"/>
        <w:vertAlign w:val="baseline"/>
        <w:lang w:val="de-DE"/>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69953F4D"/>
    <w:multiLevelType w:val="hybridMultilevel"/>
    <w:tmpl w:val="6742CEAC"/>
    <w:lvl w:ilvl="0" w:tplc="B2A875F0">
      <w:start w:val="1"/>
      <w:numFmt w:val="bullet"/>
      <w:lvlText w:val="–"/>
      <w:lvlJc w:val="left"/>
      <w:pPr>
        <w:ind w:left="720" w:hanging="360"/>
      </w:pPr>
      <w:rPr>
        <w:rFonts w:ascii="Arial" w:eastAsia="Arial" w:hAnsi="Arial" w:cs="Arial"/>
      </w:rPr>
    </w:lvl>
    <w:lvl w:ilvl="1" w:tplc="B2A875F0">
      <w:start w:val="1"/>
      <w:numFmt w:val="bullet"/>
      <w:lvlText w:val="–"/>
      <w:lvlJc w:val="left"/>
      <w:pPr>
        <w:ind w:left="1440" w:hanging="360"/>
      </w:pPr>
      <w:rPr>
        <w:rFonts w:ascii="Arial" w:eastAsia="Arial" w:hAnsi="Arial"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D577CA2"/>
    <w:multiLevelType w:val="hybridMultilevel"/>
    <w:tmpl w:val="405C6DE8"/>
    <w:lvl w:ilvl="0" w:tplc="B2A875F0">
      <w:start w:val="1"/>
      <w:numFmt w:val="bullet"/>
      <w:lvlText w:val="–"/>
      <w:lvlJc w:val="left"/>
      <w:pPr>
        <w:ind w:left="720" w:hanging="360"/>
      </w:pPr>
      <w:rPr>
        <w:rFonts w:ascii="Arial" w:eastAsia="Arial" w:hAnsi="Arial" w:cs="Arial"/>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6E1B5E87"/>
    <w:multiLevelType w:val="hybridMultilevel"/>
    <w:tmpl w:val="5DB2C854"/>
    <w:lvl w:ilvl="0" w:tplc="B2A875F0">
      <w:start w:val="1"/>
      <w:numFmt w:val="bullet"/>
      <w:lvlText w:val="–"/>
      <w:lvlJc w:val="left"/>
      <w:pPr>
        <w:ind w:left="720" w:hanging="360"/>
      </w:pPr>
      <w:rPr>
        <w:rFonts w:ascii="Arial" w:eastAsia="Arial" w:hAnsi="Arial" w:cs="Arial"/>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6EA86E83"/>
    <w:multiLevelType w:val="hybridMultilevel"/>
    <w:tmpl w:val="E3723662"/>
    <w:lvl w:ilvl="0" w:tplc="B2A875F0">
      <w:start w:val="1"/>
      <w:numFmt w:val="bullet"/>
      <w:lvlText w:val="–"/>
      <w:lvlJc w:val="left"/>
      <w:pPr>
        <w:ind w:left="720" w:hanging="360"/>
      </w:pPr>
      <w:rPr>
        <w:rFonts w:ascii="Arial" w:eastAsia="Arial" w:hAnsi="Arial" w:cs="Arial"/>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70FB0C8B"/>
    <w:multiLevelType w:val="hybridMultilevel"/>
    <w:tmpl w:val="C8F02FAA"/>
    <w:lvl w:ilvl="0" w:tplc="25405B02">
      <w:numFmt w:val="bullet"/>
      <w:lvlText w:val="–"/>
      <w:lvlJc w:val="left"/>
      <w:pPr>
        <w:ind w:left="720" w:hanging="360"/>
      </w:pPr>
      <w:rPr>
        <w:rFonts w:ascii="Arial" w:eastAsia="Arial" w:hAnsi="Arial" w:cs="Arial" w:hint="default"/>
      </w:rPr>
    </w:lvl>
    <w:lvl w:ilvl="1" w:tplc="A0601D2A">
      <w:start w:val="1"/>
      <w:numFmt w:val="bullet"/>
      <w:lvlText w:val="–"/>
      <w:lvlJc w:val="left"/>
      <w:pPr>
        <w:ind w:left="1440" w:hanging="360"/>
      </w:pPr>
      <w:rPr>
        <w:rFonts w:ascii="Arial" w:eastAsia="Arial" w:hAnsi="Arial"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A501234"/>
    <w:multiLevelType w:val="hybridMultilevel"/>
    <w:tmpl w:val="1F6A9884"/>
    <w:lvl w:ilvl="0" w:tplc="25405B02">
      <w:numFmt w:val="bullet"/>
      <w:lvlText w:val="–"/>
      <w:lvlJc w:val="left"/>
      <w:pPr>
        <w:ind w:left="720" w:hanging="360"/>
      </w:pPr>
      <w:rPr>
        <w:rFonts w:ascii="Arial" w:eastAsia="Arial" w:hAnsi="Arial" w:cs="Arial" w:hint="default"/>
      </w:rPr>
    </w:lvl>
    <w:lvl w:ilvl="1" w:tplc="A0601D2A">
      <w:start w:val="1"/>
      <w:numFmt w:val="bullet"/>
      <w:lvlText w:val="–"/>
      <w:lvlJc w:val="left"/>
      <w:pPr>
        <w:ind w:left="1440" w:hanging="360"/>
      </w:pPr>
      <w:rPr>
        <w:rFonts w:ascii="Arial" w:eastAsia="Arial" w:hAnsi="Arial"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7B5363DF"/>
    <w:multiLevelType w:val="hybridMultilevel"/>
    <w:tmpl w:val="2A4C10B4"/>
    <w:lvl w:ilvl="0" w:tplc="B2A875F0">
      <w:start w:val="1"/>
      <w:numFmt w:val="bullet"/>
      <w:lvlText w:val="–"/>
      <w:lvlJc w:val="left"/>
      <w:pPr>
        <w:ind w:left="720" w:hanging="360"/>
      </w:pPr>
      <w:rPr>
        <w:rFonts w:ascii="Arial" w:eastAsia="Arial" w:hAnsi="Arial" w:cs="Arial"/>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7CB32FBC"/>
    <w:multiLevelType w:val="hybridMultilevel"/>
    <w:tmpl w:val="FECC8EAA"/>
    <w:lvl w:ilvl="0" w:tplc="BD9EFFE0">
      <w:start w:val="1"/>
      <w:numFmt w:val="lowerLetter"/>
      <w:pStyle w:val="berschrift4"/>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9"/>
  </w:num>
  <w:num w:numId="2">
    <w:abstractNumId w:val="15"/>
  </w:num>
  <w:num w:numId="3">
    <w:abstractNumId w:val="30"/>
  </w:num>
  <w:num w:numId="4">
    <w:abstractNumId w:val="26"/>
  </w:num>
  <w:num w:numId="5">
    <w:abstractNumId w:val="9"/>
  </w:num>
  <w:num w:numId="6">
    <w:abstractNumId w:val="0"/>
  </w:num>
  <w:num w:numId="7">
    <w:abstractNumId w:val="11"/>
  </w:num>
  <w:num w:numId="8">
    <w:abstractNumId w:val="21"/>
  </w:num>
  <w:num w:numId="9">
    <w:abstractNumId w:val="7"/>
  </w:num>
  <w:num w:numId="10">
    <w:abstractNumId w:val="8"/>
  </w:num>
  <w:num w:numId="11">
    <w:abstractNumId w:val="13"/>
  </w:num>
  <w:num w:numId="12">
    <w:abstractNumId w:val="18"/>
  </w:num>
  <w:num w:numId="13">
    <w:abstractNumId w:val="34"/>
  </w:num>
  <w:num w:numId="14">
    <w:abstractNumId w:val="33"/>
  </w:num>
  <w:num w:numId="15">
    <w:abstractNumId w:val="40"/>
  </w:num>
  <w:num w:numId="16">
    <w:abstractNumId w:val="3"/>
  </w:num>
  <w:num w:numId="17">
    <w:abstractNumId w:val="36"/>
  </w:num>
  <w:num w:numId="18">
    <w:abstractNumId w:val="10"/>
  </w:num>
  <w:num w:numId="19">
    <w:abstractNumId w:val="28"/>
  </w:num>
  <w:num w:numId="20">
    <w:abstractNumId w:val="35"/>
  </w:num>
  <w:num w:numId="21">
    <w:abstractNumId w:val="20"/>
  </w:num>
  <w:num w:numId="22">
    <w:abstractNumId w:val="32"/>
  </w:num>
  <w:num w:numId="23">
    <w:abstractNumId w:val="27"/>
  </w:num>
  <w:num w:numId="24">
    <w:abstractNumId w:val="24"/>
  </w:num>
  <w:num w:numId="25">
    <w:abstractNumId w:val="37"/>
  </w:num>
  <w:num w:numId="26">
    <w:abstractNumId w:val="5"/>
  </w:num>
  <w:num w:numId="27">
    <w:abstractNumId w:val="23"/>
  </w:num>
  <w:num w:numId="28">
    <w:abstractNumId w:val="2"/>
  </w:num>
  <w:num w:numId="29">
    <w:abstractNumId w:val="12"/>
  </w:num>
  <w:num w:numId="30">
    <w:abstractNumId w:val="17"/>
  </w:num>
  <w:num w:numId="31">
    <w:abstractNumId w:val="31"/>
  </w:num>
  <w:num w:numId="32">
    <w:abstractNumId w:val="4"/>
  </w:num>
  <w:num w:numId="33">
    <w:abstractNumId w:val="25"/>
  </w:num>
  <w:num w:numId="34">
    <w:abstractNumId w:val="38"/>
  </w:num>
  <w:num w:numId="35">
    <w:abstractNumId w:val="39"/>
  </w:num>
  <w:num w:numId="36">
    <w:abstractNumId w:val="16"/>
  </w:num>
  <w:num w:numId="37">
    <w:abstractNumId w:val="19"/>
  </w:num>
  <w:num w:numId="38">
    <w:abstractNumId w:val="14"/>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22"/>
  </w:num>
  <w:num w:numId="42">
    <w:abstractNumId w:val="6"/>
  </w:num>
  <w:num w:numId="43">
    <w:abstractNumId w:val="41"/>
  </w:num>
  <w:num w:numId="44">
    <w:abstractNumId w:val="41"/>
    <w:lvlOverride w:ilvl="0">
      <w:startOverride w:val="1"/>
    </w:lvlOverride>
  </w:num>
  <w:num w:numId="45">
    <w:abstractNumId w:val="41"/>
    <w:lvlOverride w:ilvl="0">
      <w:startOverride w:val="1"/>
    </w:lvlOverride>
  </w:num>
  <w:num w:numId="46">
    <w:abstractNumId w:val="41"/>
    <w:lvlOverride w:ilvl="0">
      <w:startOverride w:val="1"/>
    </w:lvlOverride>
  </w:num>
  <w:num w:numId="47">
    <w:abstractNumId w:val="41"/>
    <w:lvlOverride w:ilvl="0">
      <w:startOverride w:val="1"/>
    </w:lvlOverride>
  </w:num>
  <w:num w:numId="48">
    <w:abstractNumId w:val="41"/>
    <w:lvlOverride w:ilvl="0">
      <w:startOverride w:val="1"/>
    </w:lvlOverride>
  </w:num>
  <w:num w:numId="49">
    <w:abstractNumId w:val="41"/>
    <w:lvlOverride w:ilvl="0">
      <w:startOverride w:val="1"/>
    </w:lvlOverride>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NotDisplayPageBoundaries/>
  <w:proofState w:spelling="clean" w:grammar="clean"/>
  <w:defaultTabStop w:val="708"/>
  <w:hyphenationZone w:val="425"/>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CB1"/>
    <w:rsid w:val="00001DEA"/>
    <w:rsid w:val="000060C8"/>
    <w:rsid w:val="00007950"/>
    <w:rsid w:val="000112FB"/>
    <w:rsid w:val="0001168D"/>
    <w:rsid w:val="0001573F"/>
    <w:rsid w:val="00016A57"/>
    <w:rsid w:val="000225A9"/>
    <w:rsid w:val="000231D4"/>
    <w:rsid w:val="00024FD4"/>
    <w:rsid w:val="00025115"/>
    <w:rsid w:val="0002542E"/>
    <w:rsid w:val="00027AAA"/>
    <w:rsid w:val="0003205C"/>
    <w:rsid w:val="000322CE"/>
    <w:rsid w:val="00032E6A"/>
    <w:rsid w:val="00033488"/>
    <w:rsid w:val="00033BF0"/>
    <w:rsid w:val="00037E70"/>
    <w:rsid w:val="000401C1"/>
    <w:rsid w:val="00046770"/>
    <w:rsid w:val="00047751"/>
    <w:rsid w:val="00052160"/>
    <w:rsid w:val="00053479"/>
    <w:rsid w:val="00054B1D"/>
    <w:rsid w:val="00054E90"/>
    <w:rsid w:val="00062C40"/>
    <w:rsid w:val="00063186"/>
    <w:rsid w:val="000633F3"/>
    <w:rsid w:val="0006362F"/>
    <w:rsid w:val="00064231"/>
    <w:rsid w:val="000653DC"/>
    <w:rsid w:val="0006735A"/>
    <w:rsid w:val="00067F7A"/>
    <w:rsid w:val="0007104F"/>
    <w:rsid w:val="0007209D"/>
    <w:rsid w:val="000724F7"/>
    <w:rsid w:val="00072E74"/>
    <w:rsid w:val="000743FD"/>
    <w:rsid w:val="00075EB4"/>
    <w:rsid w:val="0007640F"/>
    <w:rsid w:val="00082638"/>
    <w:rsid w:val="00082886"/>
    <w:rsid w:val="00082C75"/>
    <w:rsid w:val="0008341E"/>
    <w:rsid w:val="0008510D"/>
    <w:rsid w:val="000852E3"/>
    <w:rsid w:val="00090C28"/>
    <w:rsid w:val="000928A7"/>
    <w:rsid w:val="00094BE3"/>
    <w:rsid w:val="00095343"/>
    <w:rsid w:val="00095D50"/>
    <w:rsid w:val="00096A51"/>
    <w:rsid w:val="000971FA"/>
    <w:rsid w:val="00097FFE"/>
    <w:rsid w:val="000A286F"/>
    <w:rsid w:val="000A388B"/>
    <w:rsid w:val="000A3CAF"/>
    <w:rsid w:val="000A441B"/>
    <w:rsid w:val="000A5951"/>
    <w:rsid w:val="000A685E"/>
    <w:rsid w:val="000A6E80"/>
    <w:rsid w:val="000A7614"/>
    <w:rsid w:val="000B026A"/>
    <w:rsid w:val="000B0E2D"/>
    <w:rsid w:val="000B3D06"/>
    <w:rsid w:val="000B6CB0"/>
    <w:rsid w:val="000C165F"/>
    <w:rsid w:val="000C27F3"/>
    <w:rsid w:val="000C2E25"/>
    <w:rsid w:val="000C4DEE"/>
    <w:rsid w:val="000C6DCB"/>
    <w:rsid w:val="000C7090"/>
    <w:rsid w:val="000D28C8"/>
    <w:rsid w:val="000D2A92"/>
    <w:rsid w:val="000D34B3"/>
    <w:rsid w:val="000D444A"/>
    <w:rsid w:val="000D48AE"/>
    <w:rsid w:val="000D54F5"/>
    <w:rsid w:val="000D612B"/>
    <w:rsid w:val="000D630F"/>
    <w:rsid w:val="000E304E"/>
    <w:rsid w:val="000F26E2"/>
    <w:rsid w:val="000F4D31"/>
    <w:rsid w:val="000F67B8"/>
    <w:rsid w:val="00100AE3"/>
    <w:rsid w:val="00100D6E"/>
    <w:rsid w:val="00101625"/>
    <w:rsid w:val="00103EB3"/>
    <w:rsid w:val="0010409F"/>
    <w:rsid w:val="00105230"/>
    <w:rsid w:val="00105AA0"/>
    <w:rsid w:val="0010707C"/>
    <w:rsid w:val="001075FF"/>
    <w:rsid w:val="00107FBD"/>
    <w:rsid w:val="001102E7"/>
    <w:rsid w:val="00112927"/>
    <w:rsid w:val="001157C0"/>
    <w:rsid w:val="001162F3"/>
    <w:rsid w:val="0011771E"/>
    <w:rsid w:val="00120B24"/>
    <w:rsid w:val="00123236"/>
    <w:rsid w:val="001235ED"/>
    <w:rsid w:val="00123B40"/>
    <w:rsid w:val="00123D9D"/>
    <w:rsid w:val="001270DA"/>
    <w:rsid w:val="00130B42"/>
    <w:rsid w:val="00132761"/>
    <w:rsid w:val="00132C02"/>
    <w:rsid w:val="001359F3"/>
    <w:rsid w:val="00135AFA"/>
    <w:rsid w:val="001401B9"/>
    <w:rsid w:val="0014237D"/>
    <w:rsid w:val="00142907"/>
    <w:rsid w:val="00143C8A"/>
    <w:rsid w:val="001447B8"/>
    <w:rsid w:val="001451CF"/>
    <w:rsid w:val="0014617F"/>
    <w:rsid w:val="0014696F"/>
    <w:rsid w:val="00150C8C"/>
    <w:rsid w:val="00150CB6"/>
    <w:rsid w:val="00151A21"/>
    <w:rsid w:val="0015249D"/>
    <w:rsid w:val="0015375F"/>
    <w:rsid w:val="001554CF"/>
    <w:rsid w:val="00155623"/>
    <w:rsid w:val="00155AA6"/>
    <w:rsid w:val="00156853"/>
    <w:rsid w:val="00156CF1"/>
    <w:rsid w:val="00156DC5"/>
    <w:rsid w:val="001600AB"/>
    <w:rsid w:val="001602BA"/>
    <w:rsid w:val="0016089E"/>
    <w:rsid w:val="00161BD1"/>
    <w:rsid w:val="00162AC9"/>
    <w:rsid w:val="00164278"/>
    <w:rsid w:val="001656C7"/>
    <w:rsid w:val="00165FB8"/>
    <w:rsid w:val="00166393"/>
    <w:rsid w:val="00166C1A"/>
    <w:rsid w:val="00170548"/>
    <w:rsid w:val="00171930"/>
    <w:rsid w:val="001719D3"/>
    <w:rsid w:val="00171B86"/>
    <w:rsid w:val="00173253"/>
    <w:rsid w:val="001777B3"/>
    <w:rsid w:val="00181F97"/>
    <w:rsid w:val="00181FB9"/>
    <w:rsid w:val="00182048"/>
    <w:rsid w:val="00182074"/>
    <w:rsid w:val="00182282"/>
    <w:rsid w:val="00183829"/>
    <w:rsid w:val="00184998"/>
    <w:rsid w:val="001869CC"/>
    <w:rsid w:val="001877F9"/>
    <w:rsid w:val="00190E33"/>
    <w:rsid w:val="00191955"/>
    <w:rsid w:val="00193A06"/>
    <w:rsid w:val="00193E42"/>
    <w:rsid w:val="00194173"/>
    <w:rsid w:val="00194E12"/>
    <w:rsid w:val="00196817"/>
    <w:rsid w:val="0019691E"/>
    <w:rsid w:val="00196961"/>
    <w:rsid w:val="001A2BC0"/>
    <w:rsid w:val="001A349F"/>
    <w:rsid w:val="001A5897"/>
    <w:rsid w:val="001B41B6"/>
    <w:rsid w:val="001B4C41"/>
    <w:rsid w:val="001B6393"/>
    <w:rsid w:val="001B6D57"/>
    <w:rsid w:val="001C071E"/>
    <w:rsid w:val="001C287F"/>
    <w:rsid w:val="001C2D29"/>
    <w:rsid w:val="001C378A"/>
    <w:rsid w:val="001C49B3"/>
    <w:rsid w:val="001C4E59"/>
    <w:rsid w:val="001C6433"/>
    <w:rsid w:val="001D1ABE"/>
    <w:rsid w:val="001D222D"/>
    <w:rsid w:val="001D23ED"/>
    <w:rsid w:val="001D2685"/>
    <w:rsid w:val="001D30E6"/>
    <w:rsid w:val="001D5E3A"/>
    <w:rsid w:val="001D70B4"/>
    <w:rsid w:val="001E6870"/>
    <w:rsid w:val="001E6FC7"/>
    <w:rsid w:val="001E7D67"/>
    <w:rsid w:val="001F2639"/>
    <w:rsid w:val="001F2F1D"/>
    <w:rsid w:val="001F36CD"/>
    <w:rsid w:val="001F3E4E"/>
    <w:rsid w:val="001F4966"/>
    <w:rsid w:val="001F7177"/>
    <w:rsid w:val="002007AA"/>
    <w:rsid w:val="00200BC2"/>
    <w:rsid w:val="00203229"/>
    <w:rsid w:val="002056E7"/>
    <w:rsid w:val="0020760E"/>
    <w:rsid w:val="00207C56"/>
    <w:rsid w:val="00207E4D"/>
    <w:rsid w:val="00210A39"/>
    <w:rsid w:val="00211B08"/>
    <w:rsid w:val="00216FB2"/>
    <w:rsid w:val="0022030C"/>
    <w:rsid w:val="002203CC"/>
    <w:rsid w:val="00220542"/>
    <w:rsid w:val="00222B28"/>
    <w:rsid w:val="00225B27"/>
    <w:rsid w:val="00227636"/>
    <w:rsid w:val="00230D26"/>
    <w:rsid w:val="00230D6D"/>
    <w:rsid w:val="00232CB1"/>
    <w:rsid w:val="00233825"/>
    <w:rsid w:val="00235CA6"/>
    <w:rsid w:val="00235D24"/>
    <w:rsid w:val="00240820"/>
    <w:rsid w:val="00241099"/>
    <w:rsid w:val="002411E2"/>
    <w:rsid w:val="00242C97"/>
    <w:rsid w:val="002436DD"/>
    <w:rsid w:val="00246D04"/>
    <w:rsid w:val="00252192"/>
    <w:rsid w:val="00253081"/>
    <w:rsid w:val="0025372E"/>
    <w:rsid w:val="002539ED"/>
    <w:rsid w:val="00254736"/>
    <w:rsid w:val="00255761"/>
    <w:rsid w:val="00257014"/>
    <w:rsid w:val="00261961"/>
    <w:rsid w:val="00262245"/>
    <w:rsid w:val="00263D9E"/>
    <w:rsid w:val="00264375"/>
    <w:rsid w:val="00265DC1"/>
    <w:rsid w:val="00267708"/>
    <w:rsid w:val="00271248"/>
    <w:rsid w:val="00277A32"/>
    <w:rsid w:val="00277B23"/>
    <w:rsid w:val="00280F7F"/>
    <w:rsid w:val="0028490D"/>
    <w:rsid w:val="002856AC"/>
    <w:rsid w:val="00285DCF"/>
    <w:rsid w:val="00287774"/>
    <w:rsid w:val="002918FD"/>
    <w:rsid w:val="00292F64"/>
    <w:rsid w:val="002939B1"/>
    <w:rsid w:val="00296C93"/>
    <w:rsid w:val="0029777B"/>
    <w:rsid w:val="0029791E"/>
    <w:rsid w:val="002A3B25"/>
    <w:rsid w:val="002A4367"/>
    <w:rsid w:val="002A4B3D"/>
    <w:rsid w:val="002A4D72"/>
    <w:rsid w:val="002A5FDB"/>
    <w:rsid w:val="002A6345"/>
    <w:rsid w:val="002B25AB"/>
    <w:rsid w:val="002B465C"/>
    <w:rsid w:val="002B47A4"/>
    <w:rsid w:val="002B4E46"/>
    <w:rsid w:val="002B5081"/>
    <w:rsid w:val="002B741F"/>
    <w:rsid w:val="002B7695"/>
    <w:rsid w:val="002B77E1"/>
    <w:rsid w:val="002C0458"/>
    <w:rsid w:val="002C11C0"/>
    <w:rsid w:val="002C4479"/>
    <w:rsid w:val="002D0B59"/>
    <w:rsid w:val="002D0D44"/>
    <w:rsid w:val="002D1644"/>
    <w:rsid w:val="002D17BD"/>
    <w:rsid w:val="002D26C9"/>
    <w:rsid w:val="002D4D74"/>
    <w:rsid w:val="002D6243"/>
    <w:rsid w:val="002D685A"/>
    <w:rsid w:val="002D6CDE"/>
    <w:rsid w:val="002E3DF2"/>
    <w:rsid w:val="002E4441"/>
    <w:rsid w:val="002F0AB5"/>
    <w:rsid w:val="002F267A"/>
    <w:rsid w:val="002F28AC"/>
    <w:rsid w:val="002F35E6"/>
    <w:rsid w:val="002F44E4"/>
    <w:rsid w:val="002F5EA0"/>
    <w:rsid w:val="002F5FD8"/>
    <w:rsid w:val="00302A8E"/>
    <w:rsid w:val="003042CA"/>
    <w:rsid w:val="003070C2"/>
    <w:rsid w:val="00307F74"/>
    <w:rsid w:val="00310518"/>
    <w:rsid w:val="00310723"/>
    <w:rsid w:val="0031172F"/>
    <w:rsid w:val="0031253E"/>
    <w:rsid w:val="00312C5E"/>
    <w:rsid w:val="00312DB5"/>
    <w:rsid w:val="00313424"/>
    <w:rsid w:val="00316633"/>
    <w:rsid w:val="00320D4F"/>
    <w:rsid w:val="0032113C"/>
    <w:rsid w:val="00323149"/>
    <w:rsid w:val="00326654"/>
    <w:rsid w:val="003308FD"/>
    <w:rsid w:val="00330A59"/>
    <w:rsid w:val="00334FDC"/>
    <w:rsid w:val="00335ED9"/>
    <w:rsid w:val="0033669A"/>
    <w:rsid w:val="00336BE8"/>
    <w:rsid w:val="003370A5"/>
    <w:rsid w:val="00337293"/>
    <w:rsid w:val="00341B03"/>
    <w:rsid w:val="00342853"/>
    <w:rsid w:val="003433B6"/>
    <w:rsid w:val="00344D34"/>
    <w:rsid w:val="00345603"/>
    <w:rsid w:val="00345875"/>
    <w:rsid w:val="00345D14"/>
    <w:rsid w:val="00345EE4"/>
    <w:rsid w:val="0034602F"/>
    <w:rsid w:val="003466A0"/>
    <w:rsid w:val="00347948"/>
    <w:rsid w:val="00350A40"/>
    <w:rsid w:val="003517B6"/>
    <w:rsid w:val="00354368"/>
    <w:rsid w:val="003551CF"/>
    <w:rsid w:val="00356076"/>
    <w:rsid w:val="003609C6"/>
    <w:rsid w:val="0036290C"/>
    <w:rsid w:val="00363117"/>
    <w:rsid w:val="00363DDA"/>
    <w:rsid w:val="00364E96"/>
    <w:rsid w:val="00370056"/>
    <w:rsid w:val="00372327"/>
    <w:rsid w:val="003743A6"/>
    <w:rsid w:val="0037474D"/>
    <w:rsid w:val="003772FB"/>
    <w:rsid w:val="00377AB5"/>
    <w:rsid w:val="00380B36"/>
    <w:rsid w:val="00382219"/>
    <w:rsid w:val="0038234A"/>
    <w:rsid w:val="00382A91"/>
    <w:rsid w:val="00385D01"/>
    <w:rsid w:val="00387B7C"/>
    <w:rsid w:val="00394830"/>
    <w:rsid w:val="003A23F1"/>
    <w:rsid w:val="003A3227"/>
    <w:rsid w:val="003A33A4"/>
    <w:rsid w:val="003A3E9E"/>
    <w:rsid w:val="003A6E5D"/>
    <w:rsid w:val="003A79B2"/>
    <w:rsid w:val="003A7F5B"/>
    <w:rsid w:val="003B0019"/>
    <w:rsid w:val="003B244E"/>
    <w:rsid w:val="003B334C"/>
    <w:rsid w:val="003B38F1"/>
    <w:rsid w:val="003B3DFC"/>
    <w:rsid w:val="003B508D"/>
    <w:rsid w:val="003B630A"/>
    <w:rsid w:val="003C2091"/>
    <w:rsid w:val="003C2C28"/>
    <w:rsid w:val="003C3C40"/>
    <w:rsid w:val="003C3EA3"/>
    <w:rsid w:val="003C4243"/>
    <w:rsid w:val="003C51A4"/>
    <w:rsid w:val="003D0ECE"/>
    <w:rsid w:val="003D6574"/>
    <w:rsid w:val="003D69DA"/>
    <w:rsid w:val="003E098F"/>
    <w:rsid w:val="003E4650"/>
    <w:rsid w:val="003E47D6"/>
    <w:rsid w:val="003E5397"/>
    <w:rsid w:val="003E5774"/>
    <w:rsid w:val="003E583D"/>
    <w:rsid w:val="003E5C4A"/>
    <w:rsid w:val="003E5E99"/>
    <w:rsid w:val="003E7079"/>
    <w:rsid w:val="003E78AC"/>
    <w:rsid w:val="003F02DF"/>
    <w:rsid w:val="003F05B0"/>
    <w:rsid w:val="003F10DA"/>
    <w:rsid w:val="003F1B67"/>
    <w:rsid w:val="003F3E03"/>
    <w:rsid w:val="003F4E10"/>
    <w:rsid w:val="003F67CE"/>
    <w:rsid w:val="003F7B4C"/>
    <w:rsid w:val="004039A0"/>
    <w:rsid w:val="00403EAF"/>
    <w:rsid w:val="00404099"/>
    <w:rsid w:val="00404FBD"/>
    <w:rsid w:val="00405DBA"/>
    <w:rsid w:val="00410649"/>
    <w:rsid w:val="00410935"/>
    <w:rsid w:val="00412254"/>
    <w:rsid w:val="00413E2F"/>
    <w:rsid w:val="0042315F"/>
    <w:rsid w:val="00423169"/>
    <w:rsid w:val="00425CC7"/>
    <w:rsid w:val="00427EB9"/>
    <w:rsid w:val="0043207D"/>
    <w:rsid w:val="0043366B"/>
    <w:rsid w:val="00433DA0"/>
    <w:rsid w:val="00433EF4"/>
    <w:rsid w:val="00435210"/>
    <w:rsid w:val="004354D8"/>
    <w:rsid w:val="00435601"/>
    <w:rsid w:val="00435B16"/>
    <w:rsid w:val="0043621D"/>
    <w:rsid w:val="00436C38"/>
    <w:rsid w:val="00440FD0"/>
    <w:rsid w:val="00441D2E"/>
    <w:rsid w:val="00442EAD"/>
    <w:rsid w:val="00446DAB"/>
    <w:rsid w:val="00446F34"/>
    <w:rsid w:val="00450BA4"/>
    <w:rsid w:val="00451BAA"/>
    <w:rsid w:val="00452E1C"/>
    <w:rsid w:val="004549C9"/>
    <w:rsid w:val="004553C5"/>
    <w:rsid w:val="00460212"/>
    <w:rsid w:val="00460FC6"/>
    <w:rsid w:val="00461398"/>
    <w:rsid w:val="00461A55"/>
    <w:rsid w:val="00464B88"/>
    <w:rsid w:val="004666B8"/>
    <w:rsid w:val="00471C78"/>
    <w:rsid w:val="00472197"/>
    <w:rsid w:val="0047222B"/>
    <w:rsid w:val="00472A90"/>
    <w:rsid w:val="00472EC2"/>
    <w:rsid w:val="004730FA"/>
    <w:rsid w:val="00473560"/>
    <w:rsid w:val="00474ECD"/>
    <w:rsid w:val="00476282"/>
    <w:rsid w:val="00476D6E"/>
    <w:rsid w:val="00480DD4"/>
    <w:rsid w:val="00480DF3"/>
    <w:rsid w:val="00481235"/>
    <w:rsid w:val="00483E3D"/>
    <w:rsid w:val="00484036"/>
    <w:rsid w:val="0048458D"/>
    <w:rsid w:val="00485D82"/>
    <w:rsid w:val="00486E00"/>
    <w:rsid w:val="0049241D"/>
    <w:rsid w:val="00494A2E"/>
    <w:rsid w:val="004A07C4"/>
    <w:rsid w:val="004A0D73"/>
    <w:rsid w:val="004A15FE"/>
    <w:rsid w:val="004A1AB8"/>
    <w:rsid w:val="004A3081"/>
    <w:rsid w:val="004A3290"/>
    <w:rsid w:val="004A3764"/>
    <w:rsid w:val="004A6C56"/>
    <w:rsid w:val="004B1864"/>
    <w:rsid w:val="004B228A"/>
    <w:rsid w:val="004B3179"/>
    <w:rsid w:val="004B4496"/>
    <w:rsid w:val="004B6CCB"/>
    <w:rsid w:val="004B6DFA"/>
    <w:rsid w:val="004B7B6D"/>
    <w:rsid w:val="004C0CF2"/>
    <w:rsid w:val="004C0EB1"/>
    <w:rsid w:val="004C1809"/>
    <w:rsid w:val="004C21E5"/>
    <w:rsid w:val="004C469C"/>
    <w:rsid w:val="004C64BE"/>
    <w:rsid w:val="004D2312"/>
    <w:rsid w:val="004D244D"/>
    <w:rsid w:val="004D344E"/>
    <w:rsid w:val="004D4088"/>
    <w:rsid w:val="004D5E5E"/>
    <w:rsid w:val="004D6A9A"/>
    <w:rsid w:val="004D7984"/>
    <w:rsid w:val="004E218F"/>
    <w:rsid w:val="004E39C6"/>
    <w:rsid w:val="004E3BD7"/>
    <w:rsid w:val="004E3F36"/>
    <w:rsid w:val="004E5C6F"/>
    <w:rsid w:val="004E789B"/>
    <w:rsid w:val="004E79C6"/>
    <w:rsid w:val="004F1BC6"/>
    <w:rsid w:val="004F29DB"/>
    <w:rsid w:val="004F30E9"/>
    <w:rsid w:val="004F4363"/>
    <w:rsid w:val="004F56E5"/>
    <w:rsid w:val="004F6F41"/>
    <w:rsid w:val="004F7663"/>
    <w:rsid w:val="005004C7"/>
    <w:rsid w:val="0050132C"/>
    <w:rsid w:val="00502597"/>
    <w:rsid w:val="00503A65"/>
    <w:rsid w:val="005040C7"/>
    <w:rsid w:val="00505F7E"/>
    <w:rsid w:val="005067F3"/>
    <w:rsid w:val="00510E44"/>
    <w:rsid w:val="005122C1"/>
    <w:rsid w:val="00512DFF"/>
    <w:rsid w:val="00514FB2"/>
    <w:rsid w:val="00515ECD"/>
    <w:rsid w:val="005169A9"/>
    <w:rsid w:val="00517CC8"/>
    <w:rsid w:val="00520722"/>
    <w:rsid w:val="00520E97"/>
    <w:rsid w:val="0052145E"/>
    <w:rsid w:val="00521A50"/>
    <w:rsid w:val="005222B9"/>
    <w:rsid w:val="00523235"/>
    <w:rsid w:val="00523845"/>
    <w:rsid w:val="0052411E"/>
    <w:rsid w:val="00524E0E"/>
    <w:rsid w:val="00525F52"/>
    <w:rsid w:val="005261DA"/>
    <w:rsid w:val="005306E9"/>
    <w:rsid w:val="005323C1"/>
    <w:rsid w:val="00533E92"/>
    <w:rsid w:val="00534AA2"/>
    <w:rsid w:val="00534FB5"/>
    <w:rsid w:val="00535564"/>
    <w:rsid w:val="00536980"/>
    <w:rsid w:val="00536B9B"/>
    <w:rsid w:val="0054294A"/>
    <w:rsid w:val="00542BDB"/>
    <w:rsid w:val="00542CD5"/>
    <w:rsid w:val="00543689"/>
    <w:rsid w:val="005446CA"/>
    <w:rsid w:val="005459A2"/>
    <w:rsid w:val="005459B0"/>
    <w:rsid w:val="00545D37"/>
    <w:rsid w:val="00545ED1"/>
    <w:rsid w:val="005464C5"/>
    <w:rsid w:val="0055180F"/>
    <w:rsid w:val="00552153"/>
    <w:rsid w:val="00553624"/>
    <w:rsid w:val="00553A11"/>
    <w:rsid w:val="00554A69"/>
    <w:rsid w:val="0055501B"/>
    <w:rsid w:val="00555617"/>
    <w:rsid w:val="00555F1B"/>
    <w:rsid w:val="0056123F"/>
    <w:rsid w:val="0056491C"/>
    <w:rsid w:val="00566282"/>
    <w:rsid w:val="005676A2"/>
    <w:rsid w:val="00571AB9"/>
    <w:rsid w:val="005726DE"/>
    <w:rsid w:val="00576893"/>
    <w:rsid w:val="005769CE"/>
    <w:rsid w:val="005801EC"/>
    <w:rsid w:val="00581EBF"/>
    <w:rsid w:val="005821EC"/>
    <w:rsid w:val="005826DC"/>
    <w:rsid w:val="00583FF0"/>
    <w:rsid w:val="00585516"/>
    <w:rsid w:val="005900CA"/>
    <w:rsid w:val="00590D5A"/>
    <w:rsid w:val="00590E4E"/>
    <w:rsid w:val="0059216F"/>
    <w:rsid w:val="0059268F"/>
    <w:rsid w:val="00593579"/>
    <w:rsid w:val="00595B3C"/>
    <w:rsid w:val="005967E6"/>
    <w:rsid w:val="00596C19"/>
    <w:rsid w:val="005A08A8"/>
    <w:rsid w:val="005A35B5"/>
    <w:rsid w:val="005A5433"/>
    <w:rsid w:val="005A747E"/>
    <w:rsid w:val="005B14B3"/>
    <w:rsid w:val="005B1D5B"/>
    <w:rsid w:val="005B294F"/>
    <w:rsid w:val="005B5B5A"/>
    <w:rsid w:val="005B5CD5"/>
    <w:rsid w:val="005B7E2D"/>
    <w:rsid w:val="005C2D99"/>
    <w:rsid w:val="005C3018"/>
    <w:rsid w:val="005C5104"/>
    <w:rsid w:val="005C5D12"/>
    <w:rsid w:val="005C65AD"/>
    <w:rsid w:val="005C782B"/>
    <w:rsid w:val="005C795B"/>
    <w:rsid w:val="005D027A"/>
    <w:rsid w:val="005D0AED"/>
    <w:rsid w:val="005D389B"/>
    <w:rsid w:val="005D5CD0"/>
    <w:rsid w:val="005D6D9B"/>
    <w:rsid w:val="005E2101"/>
    <w:rsid w:val="005E49D7"/>
    <w:rsid w:val="005E53E0"/>
    <w:rsid w:val="005F0BE3"/>
    <w:rsid w:val="005F0C6D"/>
    <w:rsid w:val="005F6C2D"/>
    <w:rsid w:val="005F7A55"/>
    <w:rsid w:val="00600060"/>
    <w:rsid w:val="00600373"/>
    <w:rsid w:val="00600C78"/>
    <w:rsid w:val="00601D17"/>
    <w:rsid w:val="00602FAC"/>
    <w:rsid w:val="00605200"/>
    <w:rsid w:val="00606148"/>
    <w:rsid w:val="00606C3B"/>
    <w:rsid w:val="00607343"/>
    <w:rsid w:val="006102B0"/>
    <w:rsid w:val="00610743"/>
    <w:rsid w:val="00610BED"/>
    <w:rsid w:val="00613329"/>
    <w:rsid w:val="00613382"/>
    <w:rsid w:val="00613869"/>
    <w:rsid w:val="006139D9"/>
    <w:rsid w:val="00614B53"/>
    <w:rsid w:val="006164C1"/>
    <w:rsid w:val="00620BCB"/>
    <w:rsid w:val="00621AD7"/>
    <w:rsid w:val="00622573"/>
    <w:rsid w:val="0062489F"/>
    <w:rsid w:val="00624C38"/>
    <w:rsid w:val="00624D57"/>
    <w:rsid w:val="006255CA"/>
    <w:rsid w:val="00625D69"/>
    <w:rsid w:val="0062776E"/>
    <w:rsid w:val="0063096F"/>
    <w:rsid w:val="00632FE1"/>
    <w:rsid w:val="006337F0"/>
    <w:rsid w:val="00634809"/>
    <w:rsid w:val="00635835"/>
    <w:rsid w:val="00640C13"/>
    <w:rsid w:val="006411F6"/>
    <w:rsid w:val="006416E9"/>
    <w:rsid w:val="00643817"/>
    <w:rsid w:val="00643A11"/>
    <w:rsid w:val="006454D9"/>
    <w:rsid w:val="006458CF"/>
    <w:rsid w:val="00645972"/>
    <w:rsid w:val="0064609F"/>
    <w:rsid w:val="00646B9F"/>
    <w:rsid w:val="00646C69"/>
    <w:rsid w:val="00647E95"/>
    <w:rsid w:val="00647F54"/>
    <w:rsid w:val="006536E2"/>
    <w:rsid w:val="00653F2F"/>
    <w:rsid w:val="00655691"/>
    <w:rsid w:val="00655920"/>
    <w:rsid w:val="00655A96"/>
    <w:rsid w:val="00662580"/>
    <w:rsid w:val="00665220"/>
    <w:rsid w:val="00666127"/>
    <w:rsid w:val="006677DB"/>
    <w:rsid w:val="0067082F"/>
    <w:rsid w:val="00674E68"/>
    <w:rsid w:val="006773B0"/>
    <w:rsid w:val="00680E0B"/>
    <w:rsid w:val="00683C85"/>
    <w:rsid w:val="00684D40"/>
    <w:rsid w:val="00685C5E"/>
    <w:rsid w:val="0068642D"/>
    <w:rsid w:val="006867CF"/>
    <w:rsid w:val="00691121"/>
    <w:rsid w:val="0069187B"/>
    <w:rsid w:val="006A1051"/>
    <w:rsid w:val="006A351F"/>
    <w:rsid w:val="006A363C"/>
    <w:rsid w:val="006A38FF"/>
    <w:rsid w:val="006A3FE9"/>
    <w:rsid w:val="006A58FA"/>
    <w:rsid w:val="006A5D4F"/>
    <w:rsid w:val="006A6D9A"/>
    <w:rsid w:val="006A7280"/>
    <w:rsid w:val="006B1272"/>
    <w:rsid w:val="006B5887"/>
    <w:rsid w:val="006C0178"/>
    <w:rsid w:val="006C23A3"/>
    <w:rsid w:val="006C48A2"/>
    <w:rsid w:val="006C7426"/>
    <w:rsid w:val="006D33AE"/>
    <w:rsid w:val="006D396D"/>
    <w:rsid w:val="006D3E84"/>
    <w:rsid w:val="006D3F49"/>
    <w:rsid w:val="006D44A5"/>
    <w:rsid w:val="006D5167"/>
    <w:rsid w:val="006D5765"/>
    <w:rsid w:val="006D5C7B"/>
    <w:rsid w:val="006D6B30"/>
    <w:rsid w:val="006D6E66"/>
    <w:rsid w:val="006E11D9"/>
    <w:rsid w:val="006E2B4E"/>
    <w:rsid w:val="006E304E"/>
    <w:rsid w:val="006E3145"/>
    <w:rsid w:val="006E31CD"/>
    <w:rsid w:val="006E4C12"/>
    <w:rsid w:val="006F1B29"/>
    <w:rsid w:val="006F2353"/>
    <w:rsid w:val="006F390E"/>
    <w:rsid w:val="00701B65"/>
    <w:rsid w:val="00702869"/>
    <w:rsid w:val="007032AD"/>
    <w:rsid w:val="00703BE4"/>
    <w:rsid w:val="00706F29"/>
    <w:rsid w:val="00711413"/>
    <w:rsid w:val="00712AC7"/>
    <w:rsid w:val="007159C3"/>
    <w:rsid w:val="007170DE"/>
    <w:rsid w:val="0072088B"/>
    <w:rsid w:val="00720DB7"/>
    <w:rsid w:val="007217C2"/>
    <w:rsid w:val="00721C58"/>
    <w:rsid w:val="0072282D"/>
    <w:rsid w:val="0072369E"/>
    <w:rsid w:val="00724F6E"/>
    <w:rsid w:val="00725413"/>
    <w:rsid w:val="00725DC8"/>
    <w:rsid w:val="00725F49"/>
    <w:rsid w:val="00727ABA"/>
    <w:rsid w:val="00727BA3"/>
    <w:rsid w:val="00730349"/>
    <w:rsid w:val="00730D91"/>
    <w:rsid w:val="007322B8"/>
    <w:rsid w:val="0073258D"/>
    <w:rsid w:val="00737F05"/>
    <w:rsid w:val="00740715"/>
    <w:rsid w:val="0074082F"/>
    <w:rsid w:val="007430B6"/>
    <w:rsid w:val="007444E4"/>
    <w:rsid w:val="00746012"/>
    <w:rsid w:val="00746CB6"/>
    <w:rsid w:val="007506B5"/>
    <w:rsid w:val="00751D57"/>
    <w:rsid w:val="00754BC8"/>
    <w:rsid w:val="007562FF"/>
    <w:rsid w:val="007579FF"/>
    <w:rsid w:val="00760BF4"/>
    <w:rsid w:val="007610E5"/>
    <w:rsid w:val="00762021"/>
    <w:rsid w:val="007627FF"/>
    <w:rsid w:val="007669C3"/>
    <w:rsid w:val="007704B9"/>
    <w:rsid w:val="00771279"/>
    <w:rsid w:val="00771DFB"/>
    <w:rsid w:val="00773424"/>
    <w:rsid w:val="00774C31"/>
    <w:rsid w:val="00777C27"/>
    <w:rsid w:val="007801CD"/>
    <w:rsid w:val="0078188F"/>
    <w:rsid w:val="00782008"/>
    <w:rsid w:val="007821B7"/>
    <w:rsid w:val="00784493"/>
    <w:rsid w:val="00784884"/>
    <w:rsid w:val="00784C78"/>
    <w:rsid w:val="00787727"/>
    <w:rsid w:val="00794372"/>
    <w:rsid w:val="00794525"/>
    <w:rsid w:val="0079583C"/>
    <w:rsid w:val="007A2D07"/>
    <w:rsid w:val="007A4732"/>
    <w:rsid w:val="007A56E4"/>
    <w:rsid w:val="007B2608"/>
    <w:rsid w:val="007B2C1E"/>
    <w:rsid w:val="007B4326"/>
    <w:rsid w:val="007B6290"/>
    <w:rsid w:val="007B6A5A"/>
    <w:rsid w:val="007B73DF"/>
    <w:rsid w:val="007C0CCE"/>
    <w:rsid w:val="007C124D"/>
    <w:rsid w:val="007C2DB5"/>
    <w:rsid w:val="007C333E"/>
    <w:rsid w:val="007C3E65"/>
    <w:rsid w:val="007C4B4A"/>
    <w:rsid w:val="007C4ECD"/>
    <w:rsid w:val="007C5134"/>
    <w:rsid w:val="007C6AB1"/>
    <w:rsid w:val="007C734B"/>
    <w:rsid w:val="007D0183"/>
    <w:rsid w:val="007D0CC6"/>
    <w:rsid w:val="007D1421"/>
    <w:rsid w:val="007D1FE0"/>
    <w:rsid w:val="007D21C1"/>
    <w:rsid w:val="007D27BF"/>
    <w:rsid w:val="007E0175"/>
    <w:rsid w:val="007E1A98"/>
    <w:rsid w:val="007E2009"/>
    <w:rsid w:val="007E3D88"/>
    <w:rsid w:val="007E67F2"/>
    <w:rsid w:val="007E6B9D"/>
    <w:rsid w:val="007E7A91"/>
    <w:rsid w:val="007F38DC"/>
    <w:rsid w:val="007F3E32"/>
    <w:rsid w:val="007F4856"/>
    <w:rsid w:val="007F6C62"/>
    <w:rsid w:val="007F6CA6"/>
    <w:rsid w:val="007F729A"/>
    <w:rsid w:val="007F7793"/>
    <w:rsid w:val="008014A7"/>
    <w:rsid w:val="008024E1"/>
    <w:rsid w:val="00802FFE"/>
    <w:rsid w:val="0080361A"/>
    <w:rsid w:val="00803773"/>
    <w:rsid w:val="0080469A"/>
    <w:rsid w:val="00804C55"/>
    <w:rsid w:val="0080507A"/>
    <w:rsid w:val="008053A4"/>
    <w:rsid w:val="00805614"/>
    <w:rsid w:val="00806187"/>
    <w:rsid w:val="0081284B"/>
    <w:rsid w:val="00812DE6"/>
    <w:rsid w:val="008146EC"/>
    <w:rsid w:val="00814B8A"/>
    <w:rsid w:val="008157F3"/>
    <w:rsid w:val="00815852"/>
    <w:rsid w:val="00816961"/>
    <w:rsid w:val="00820ED0"/>
    <w:rsid w:val="0082128B"/>
    <w:rsid w:val="0082278A"/>
    <w:rsid w:val="00823C07"/>
    <w:rsid w:val="0082480E"/>
    <w:rsid w:val="00824D27"/>
    <w:rsid w:val="00825034"/>
    <w:rsid w:val="00827605"/>
    <w:rsid w:val="0083004D"/>
    <w:rsid w:val="008304FD"/>
    <w:rsid w:val="00830727"/>
    <w:rsid w:val="00831336"/>
    <w:rsid w:val="00831783"/>
    <w:rsid w:val="00831B7B"/>
    <w:rsid w:val="0083393C"/>
    <w:rsid w:val="008417C6"/>
    <w:rsid w:val="0084245E"/>
    <w:rsid w:val="00843124"/>
    <w:rsid w:val="00843561"/>
    <w:rsid w:val="00845036"/>
    <w:rsid w:val="00853C5F"/>
    <w:rsid w:val="00854C23"/>
    <w:rsid w:val="008558E8"/>
    <w:rsid w:val="00856A80"/>
    <w:rsid w:val="008575AF"/>
    <w:rsid w:val="00857DA9"/>
    <w:rsid w:val="0086133C"/>
    <w:rsid w:val="00862A20"/>
    <w:rsid w:val="00862FA5"/>
    <w:rsid w:val="00866667"/>
    <w:rsid w:val="00866C55"/>
    <w:rsid w:val="00870ACE"/>
    <w:rsid w:val="008718B1"/>
    <w:rsid w:val="008806DC"/>
    <w:rsid w:val="008854EB"/>
    <w:rsid w:val="00885895"/>
    <w:rsid w:val="00885CC7"/>
    <w:rsid w:val="00885E12"/>
    <w:rsid w:val="0088634E"/>
    <w:rsid w:val="00887234"/>
    <w:rsid w:val="00890003"/>
    <w:rsid w:val="008907E8"/>
    <w:rsid w:val="0089279E"/>
    <w:rsid w:val="008A3C60"/>
    <w:rsid w:val="008A5594"/>
    <w:rsid w:val="008B0D71"/>
    <w:rsid w:val="008B304A"/>
    <w:rsid w:val="008B36EE"/>
    <w:rsid w:val="008B382D"/>
    <w:rsid w:val="008B5433"/>
    <w:rsid w:val="008B5DBB"/>
    <w:rsid w:val="008B6755"/>
    <w:rsid w:val="008C13BC"/>
    <w:rsid w:val="008C4EFA"/>
    <w:rsid w:val="008C55A3"/>
    <w:rsid w:val="008D0F6E"/>
    <w:rsid w:val="008D1AE6"/>
    <w:rsid w:val="008D339B"/>
    <w:rsid w:val="008D4267"/>
    <w:rsid w:val="008D4391"/>
    <w:rsid w:val="008D5A28"/>
    <w:rsid w:val="008D5B84"/>
    <w:rsid w:val="008D7DE1"/>
    <w:rsid w:val="008E007E"/>
    <w:rsid w:val="008E0B24"/>
    <w:rsid w:val="008E1F1E"/>
    <w:rsid w:val="008E2BC4"/>
    <w:rsid w:val="008E351B"/>
    <w:rsid w:val="008E4517"/>
    <w:rsid w:val="008E63B9"/>
    <w:rsid w:val="008E64FA"/>
    <w:rsid w:val="008E716A"/>
    <w:rsid w:val="008E73D4"/>
    <w:rsid w:val="008F0DBE"/>
    <w:rsid w:val="008F0F6C"/>
    <w:rsid w:val="008F1B23"/>
    <w:rsid w:val="008F3204"/>
    <w:rsid w:val="008F387F"/>
    <w:rsid w:val="008F5480"/>
    <w:rsid w:val="008F6644"/>
    <w:rsid w:val="00900FF9"/>
    <w:rsid w:val="009026D8"/>
    <w:rsid w:val="009030FF"/>
    <w:rsid w:val="00904583"/>
    <w:rsid w:val="0090472E"/>
    <w:rsid w:val="0090713C"/>
    <w:rsid w:val="0090724A"/>
    <w:rsid w:val="009128AE"/>
    <w:rsid w:val="00912ACA"/>
    <w:rsid w:val="00912E06"/>
    <w:rsid w:val="00914258"/>
    <w:rsid w:val="00915112"/>
    <w:rsid w:val="0091582B"/>
    <w:rsid w:val="00916078"/>
    <w:rsid w:val="0092276E"/>
    <w:rsid w:val="00922D89"/>
    <w:rsid w:val="00927C7E"/>
    <w:rsid w:val="00931273"/>
    <w:rsid w:val="009368AF"/>
    <w:rsid w:val="009378FB"/>
    <w:rsid w:val="009401D4"/>
    <w:rsid w:val="00941DEF"/>
    <w:rsid w:val="009421E2"/>
    <w:rsid w:val="009428D7"/>
    <w:rsid w:val="009457B0"/>
    <w:rsid w:val="009478EB"/>
    <w:rsid w:val="009541F0"/>
    <w:rsid w:val="00954D12"/>
    <w:rsid w:val="00955540"/>
    <w:rsid w:val="0095568A"/>
    <w:rsid w:val="00957076"/>
    <w:rsid w:val="00957873"/>
    <w:rsid w:val="00960A4F"/>
    <w:rsid w:val="009615A4"/>
    <w:rsid w:val="009621AB"/>
    <w:rsid w:val="00964826"/>
    <w:rsid w:val="00965CA6"/>
    <w:rsid w:val="0096714E"/>
    <w:rsid w:val="00971CA1"/>
    <w:rsid w:val="0097233D"/>
    <w:rsid w:val="009727C4"/>
    <w:rsid w:val="00973A33"/>
    <w:rsid w:val="009756A6"/>
    <w:rsid w:val="00976AAC"/>
    <w:rsid w:val="00977875"/>
    <w:rsid w:val="00981451"/>
    <w:rsid w:val="00981725"/>
    <w:rsid w:val="00981F07"/>
    <w:rsid w:val="00983A91"/>
    <w:rsid w:val="009842EF"/>
    <w:rsid w:val="0098769E"/>
    <w:rsid w:val="009A1021"/>
    <w:rsid w:val="009A35CE"/>
    <w:rsid w:val="009A526A"/>
    <w:rsid w:val="009B1970"/>
    <w:rsid w:val="009B3A7F"/>
    <w:rsid w:val="009B52E1"/>
    <w:rsid w:val="009B5455"/>
    <w:rsid w:val="009B6F99"/>
    <w:rsid w:val="009B715D"/>
    <w:rsid w:val="009B78BC"/>
    <w:rsid w:val="009C11B7"/>
    <w:rsid w:val="009C1266"/>
    <w:rsid w:val="009C1521"/>
    <w:rsid w:val="009C2BE4"/>
    <w:rsid w:val="009C4032"/>
    <w:rsid w:val="009C6493"/>
    <w:rsid w:val="009C6F02"/>
    <w:rsid w:val="009D0B6F"/>
    <w:rsid w:val="009D16F1"/>
    <w:rsid w:val="009D3863"/>
    <w:rsid w:val="009D40EB"/>
    <w:rsid w:val="009D4433"/>
    <w:rsid w:val="009D4646"/>
    <w:rsid w:val="009D6D52"/>
    <w:rsid w:val="009E05B4"/>
    <w:rsid w:val="009E0C82"/>
    <w:rsid w:val="009E2778"/>
    <w:rsid w:val="009E34F3"/>
    <w:rsid w:val="009E5CB6"/>
    <w:rsid w:val="009E7D4A"/>
    <w:rsid w:val="009F0454"/>
    <w:rsid w:val="009F21D8"/>
    <w:rsid w:val="009F3DED"/>
    <w:rsid w:val="009F40C4"/>
    <w:rsid w:val="009F5D62"/>
    <w:rsid w:val="009F5E7C"/>
    <w:rsid w:val="009F7C89"/>
    <w:rsid w:val="00A0189A"/>
    <w:rsid w:val="00A02780"/>
    <w:rsid w:val="00A03F3B"/>
    <w:rsid w:val="00A04439"/>
    <w:rsid w:val="00A04637"/>
    <w:rsid w:val="00A057DC"/>
    <w:rsid w:val="00A11C27"/>
    <w:rsid w:val="00A12D96"/>
    <w:rsid w:val="00A13BC5"/>
    <w:rsid w:val="00A1441B"/>
    <w:rsid w:val="00A14E30"/>
    <w:rsid w:val="00A176CE"/>
    <w:rsid w:val="00A202EF"/>
    <w:rsid w:val="00A239CF"/>
    <w:rsid w:val="00A25A9B"/>
    <w:rsid w:val="00A25C3B"/>
    <w:rsid w:val="00A26198"/>
    <w:rsid w:val="00A267EE"/>
    <w:rsid w:val="00A26CBE"/>
    <w:rsid w:val="00A27D69"/>
    <w:rsid w:val="00A30AA8"/>
    <w:rsid w:val="00A324E0"/>
    <w:rsid w:val="00A36074"/>
    <w:rsid w:val="00A37A8C"/>
    <w:rsid w:val="00A40988"/>
    <w:rsid w:val="00A42585"/>
    <w:rsid w:val="00A44980"/>
    <w:rsid w:val="00A46247"/>
    <w:rsid w:val="00A46316"/>
    <w:rsid w:val="00A46389"/>
    <w:rsid w:val="00A466CF"/>
    <w:rsid w:val="00A47318"/>
    <w:rsid w:val="00A51585"/>
    <w:rsid w:val="00A52CF5"/>
    <w:rsid w:val="00A574F7"/>
    <w:rsid w:val="00A620E3"/>
    <w:rsid w:val="00A627B7"/>
    <w:rsid w:val="00A64E71"/>
    <w:rsid w:val="00A64FD8"/>
    <w:rsid w:val="00A66450"/>
    <w:rsid w:val="00A66D6F"/>
    <w:rsid w:val="00A671DB"/>
    <w:rsid w:val="00A71E73"/>
    <w:rsid w:val="00A749FD"/>
    <w:rsid w:val="00A77D0C"/>
    <w:rsid w:val="00A80A13"/>
    <w:rsid w:val="00A848F2"/>
    <w:rsid w:val="00A85035"/>
    <w:rsid w:val="00A866E9"/>
    <w:rsid w:val="00A918A0"/>
    <w:rsid w:val="00A91CC3"/>
    <w:rsid w:val="00A943CE"/>
    <w:rsid w:val="00A94CE2"/>
    <w:rsid w:val="00AA1EB4"/>
    <w:rsid w:val="00AA31EC"/>
    <w:rsid w:val="00AA4CD7"/>
    <w:rsid w:val="00AB0088"/>
    <w:rsid w:val="00AB078D"/>
    <w:rsid w:val="00AB0E1F"/>
    <w:rsid w:val="00AB207D"/>
    <w:rsid w:val="00AB5905"/>
    <w:rsid w:val="00AC2DE3"/>
    <w:rsid w:val="00AC6952"/>
    <w:rsid w:val="00AD224D"/>
    <w:rsid w:val="00AD3D17"/>
    <w:rsid w:val="00AD3E59"/>
    <w:rsid w:val="00AD4CCE"/>
    <w:rsid w:val="00AD5011"/>
    <w:rsid w:val="00AD5256"/>
    <w:rsid w:val="00AD5E8B"/>
    <w:rsid w:val="00AE1BDC"/>
    <w:rsid w:val="00AE26CC"/>
    <w:rsid w:val="00AE43C2"/>
    <w:rsid w:val="00AE72A8"/>
    <w:rsid w:val="00AF114B"/>
    <w:rsid w:val="00AF161E"/>
    <w:rsid w:val="00AF1C6E"/>
    <w:rsid w:val="00AF22BE"/>
    <w:rsid w:val="00AF335C"/>
    <w:rsid w:val="00AF3F86"/>
    <w:rsid w:val="00AF4EF5"/>
    <w:rsid w:val="00AF571F"/>
    <w:rsid w:val="00AF6647"/>
    <w:rsid w:val="00AF6685"/>
    <w:rsid w:val="00B00453"/>
    <w:rsid w:val="00B0046A"/>
    <w:rsid w:val="00B02880"/>
    <w:rsid w:val="00B03451"/>
    <w:rsid w:val="00B039EA"/>
    <w:rsid w:val="00B0420C"/>
    <w:rsid w:val="00B04587"/>
    <w:rsid w:val="00B04926"/>
    <w:rsid w:val="00B07CEA"/>
    <w:rsid w:val="00B07DAF"/>
    <w:rsid w:val="00B10B80"/>
    <w:rsid w:val="00B12181"/>
    <w:rsid w:val="00B1225B"/>
    <w:rsid w:val="00B13125"/>
    <w:rsid w:val="00B14098"/>
    <w:rsid w:val="00B179A9"/>
    <w:rsid w:val="00B224D2"/>
    <w:rsid w:val="00B276F5"/>
    <w:rsid w:val="00B3061A"/>
    <w:rsid w:val="00B30B82"/>
    <w:rsid w:val="00B32DF3"/>
    <w:rsid w:val="00B3315D"/>
    <w:rsid w:val="00B335BE"/>
    <w:rsid w:val="00B359C8"/>
    <w:rsid w:val="00B36020"/>
    <w:rsid w:val="00B43F6C"/>
    <w:rsid w:val="00B454A9"/>
    <w:rsid w:val="00B46F28"/>
    <w:rsid w:val="00B534C3"/>
    <w:rsid w:val="00B55CE0"/>
    <w:rsid w:val="00B61529"/>
    <w:rsid w:val="00B62993"/>
    <w:rsid w:val="00B64A43"/>
    <w:rsid w:val="00B64B1A"/>
    <w:rsid w:val="00B6595F"/>
    <w:rsid w:val="00B65B35"/>
    <w:rsid w:val="00B673BE"/>
    <w:rsid w:val="00B7306C"/>
    <w:rsid w:val="00B732AA"/>
    <w:rsid w:val="00B73EFD"/>
    <w:rsid w:val="00B77158"/>
    <w:rsid w:val="00B7772E"/>
    <w:rsid w:val="00B801C5"/>
    <w:rsid w:val="00B81DC0"/>
    <w:rsid w:val="00B8559F"/>
    <w:rsid w:val="00B8657C"/>
    <w:rsid w:val="00B86A55"/>
    <w:rsid w:val="00B871ED"/>
    <w:rsid w:val="00B87F6D"/>
    <w:rsid w:val="00B91792"/>
    <w:rsid w:val="00B9392B"/>
    <w:rsid w:val="00B955B2"/>
    <w:rsid w:val="00B9684F"/>
    <w:rsid w:val="00B96E0A"/>
    <w:rsid w:val="00B97205"/>
    <w:rsid w:val="00BA153C"/>
    <w:rsid w:val="00BA1C9A"/>
    <w:rsid w:val="00BA37AF"/>
    <w:rsid w:val="00BA469B"/>
    <w:rsid w:val="00BA4F5C"/>
    <w:rsid w:val="00BA5028"/>
    <w:rsid w:val="00BB01A5"/>
    <w:rsid w:val="00BB0DD2"/>
    <w:rsid w:val="00BB0EB4"/>
    <w:rsid w:val="00BB10A3"/>
    <w:rsid w:val="00BB1D55"/>
    <w:rsid w:val="00BB3873"/>
    <w:rsid w:val="00BB430D"/>
    <w:rsid w:val="00BB4C36"/>
    <w:rsid w:val="00BC0716"/>
    <w:rsid w:val="00BC0C47"/>
    <w:rsid w:val="00BC1A06"/>
    <w:rsid w:val="00BC1A08"/>
    <w:rsid w:val="00BC354B"/>
    <w:rsid w:val="00BC40BF"/>
    <w:rsid w:val="00BC691E"/>
    <w:rsid w:val="00BC7B8D"/>
    <w:rsid w:val="00BC7FF2"/>
    <w:rsid w:val="00BD2F88"/>
    <w:rsid w:val="00BD4D29"/>
    <w:rsid w:val="00BD5997"/>
    <w:rsid w:val="00BD5A66"/>
    <w:rsid w:val="00BD7487"/>
    <w:rsid w:val="00BE46BB"/>
    <w:rsid w:val="00BE4D8B"/>
    <w:rsid w:val="00BE52CB"/>
    <w:rsid w:val="00BE6058"/>
    <w:rsid w:val="00BE6AD2"/>
    <w:rsid w:val="00BF35CD"/>
    <w:rsid w:val="00BF3EE4"/>
    <w:rsid w:val="00C00E75"/>
    <w:rsid w:val="00C02F95"/>
    <w:rsid w:val="00C0447A"/>
    <w:rsid w:val="00C052D2"/>
    <w:rsid w:val="00C10A5E"/>
    <w:rsid w:val="00C10BAE"/>
    <w:rsid w:val="00C112F2"/>
    <w:rsid w:val="00C11498"/>
    <w:rsid w:val="00C11B4C"/>
    <w:rsid w:val="00C12839"/>
    <w:rsid w:val="00C17803"/>
    <w:rsid w:val="00C209DE"/>
    <w:rsid w:val="00C25BD9"/>
    <w:rsid w:val="00C2608A"/>
    <w:rsid w:val="00C27479"/>
    <w:rsid w:val="00C31D70"/>
    <w:rsid w:val="00C32863"/>
    <w:rsid w:val="00C3303D"/>
    <w:rsid w:val="00C33DBB"/>
    <w:rsid w:val="00C342F1"/>
    <w:rsid w:val="00C35D18"/>
    <w:rsid w:val="00C36108"/>
    <w:rsid w:val="00C37645"/>
    <w:rsid w:val="00C40C4F"/>
    <w:rsid w:val="00C41793"/>
    <w:rsid w:val="00C4473A"/>
    <w:rsid w:val="00C45164"/>
    <w:rsid w:val="00C45FDB"/>
    <w:rsid w:val="00C460B9"/>
    <w:rsid w:val="00C4681D"/>
    <w:rsid w:val="00C5375B"/>
    <w:rsid w:val="00C53B29"/>
    <w:rsid w:val="00C56DE3"/>
    <w:rsid w:val="00C61286"/>
    <w:rsid w:val="00C62752"/>
    <w:rsid w:val="00C65B6C"/>
    <w:rsid w:val="00C71B16"/>
    <w:rsid w:val="00C74520"/>
    <w:rsid w:val="00C7781D"/>
    <w:rsid w:val="00C8225B"/>
    <w:rsid w:val="00C825D8"/>
    <w:rsid w:val="00C8372A"/>
    <w:rsid w:val="00C83A98"/>
    <w:rsid w:val="00C84375"/>
    <w:rsid w:val="00C85CCB"/>
    <w:rsid w:val="00C91F34"/>
    <w:rsid w:val="00C92CF1"/>
    <w:rsid w:val="00C969B2"/>
    <w:rsid w:val="00CA0A15"/>
    <w:rsid w:val="00CA0A77"/>
    <w:rsid w:val="00CA1AB1"/>
    <w:rsid w:val="00CA2F2F"/>
    <w:rsid w:val="00CA4409"/>
    <w:rsid w:val="00CA4509"/>
    <w:rsid w:val="00CA551B"/>
    <w:rsid w:val="00CA61C6"/>
    <w:rsid w:val="00CB008B"/>
    <w:rsid w:val="00CB148C"/>
    <w:rsid w:val="00CB156F"/>
    <w:rsid w:val="00CB17EB"/>
    <w:rsid w:val="00CB1C5A"/>
    <w:rsid w:val="00CB5C70"/>
    <w:rsid w:val="00CB6483"/>
    <w:rsid w:val="00CB64E9"/>
    <w:rsid w:val="00CC1148"/>
    <w:rsid w:val="00CC4D6F"/>
    <w:rsid w:val="00CC5BD7"/>
    <w:rsid w:val="00CC5C15"/>
    <w:rsid w:val="00CD0487"/>
    <w:rsid w:val="00CD46C7"/>
    <w:rsid w:val="00CD5A9C"/>
    <w:rsid w:val="00CD6058"/>
    <w:rsid w:val="00CD6BB2"/>
    <w:rsid w:val="00CE4AA3"/>
    <w:rsid w:val="00CE56C8"/>
    <w:rsid w:val="00CF11DC"/>
    <w:rsid w:val="00CF124B"/>
    <w:rsid w:val="00CF20AE"/>
    <w:rsid w:val="00CF2397"/>
    <w:rsid w:val="00CF33F0"/>
    <w:rsid w:val="00CF3503"/>
    <w:rsid w:val="00CF4286"/>
    <w:rsid w:val="00CF45F0"/>
    <w:rsid w:val="00CF5CD7"/>
    <w:rsid w:val="00CF5D38"/>
    <w:rsid w:val="00CF7E8A"/>
    <w:rsid w:val="00D03539"/>
    <w:rsid w:val="00D03A92"/>
    <w:rsid w:val="00D06317"/>
    <w:rsid w:val="00D064E5"/>
    <w:rsid w:val="00D06954"/>
    <w:rsid w:val="00D0702A"/>
    <w:rsid w:val="00D07EB6"/>
    <w:rsid w:val="00D10897"/>
    <w:rsid w:val="00D13C10"/>
    <w:rsid w:val="00D13F08"/>
    <w:rsid w:val="00D14228"/>
    <w:rsid w:val="00D16660"/>
    <w:rsid w:val="00D20205"/>
    <w:rsid w:val="00D238A8"/>
    <w:rsid w:val="00D24854"/>
    <w:rsid w:val="00D24EC5"/>
    <w:rsid w:val="00D2527A"/>
    <w:rsid w:val="00D2554C"/>
    <w:rsid w:val="00D272C8"/>
    <w:rsid w:val="00D304E5"/>
    <w:rsid w:val="00D3139A"/>
    <w:rsid w:val="00D31606"/>
    <w:rsid w:val="00D327F7"/>
    <w:rsid w:val="00D3289E"/>
    <w:rsid w:val="00D33741"/>
    <w:rsid w:val="00D35455"/>
    <w:rsid w:val="00D35831"/>
    <w:rsid w:val="00D4086B"/>
    <w:rsid w:val="00D40D06"/>
    <w:rsid w:val="00D418AE"/>
    <w:rsid w:val="00D4442D"/>
    <w:rsid w:val="00D444F4"/>
    <w:rsid w:val="00D446D8"/>
    <w:rsid w:val="00D44FEB"/>
    <w:rsid w:val="00D45D62"/>
    <w:rsid w:val="00D4601B"/>
    <w:rsid w:val="00D46A48"/>
    <w:rsid w:val="00D46FB5"/>
    <w:rsid w:val="00D4729F"/>
    <w:rsid w:val="00D50116"/>
    <w:rsid w:val="00D52030"/>
    <w:rsid w:val="00D53637"/>
    <w:rsid w:val="00D545DC"/>
    <w:rsid w:val="00D54F1D"/>
    <w:rsid w:val="00D5506B"/>
    <w:rsid w:val="00D55324"/>
    <w:rsid w:val="00D5639B"/>
    <w:rsid w:val="00D612E7"/>
    <w:rsid w:val="00D631FC"/>
    <w:rsid w:val="00D63AA7"/>
    <w:rsid w:val="00D642B7"/>
    <w:rsid w:val="00D67295"/>
    <w:rsid w:val="00D6736D"/>
    <w:rsid w:val="00D703C8"/>
    <w:rsid w:val="00D709A6"/>
    <w:rsid w:val="00D7257A"/>
    <w:rsid w:val="00D733B2"/>
    <w:rsid w:val="00D73F95"/>
    <w:rsid w:val="00D74F52"/>
    <w:rsid w:val="00D7586E"/>
    <w:rsid w:val="00D809FD"/>
    <w:rsid w:val="00D85160"/>
    <w:rsid w:val="00D860A7"/>
    <w:rsid w:val="00D90CEB"/>
    <w:rsid w:val="00D91362"/>
    <w:rsid w:val="00D91CD4"/>
    <w:rsid w:val="00D9271D"/>
    <w:rsid w:val="00D93875"/>
    <w:rsid w:val="00D943C8"/>
    <w:rsid w:val="00D95285"/>
    <w:rsid w:val="00D957E6"/>
    <w:rsid w:val="00D969E2"/>
    <w:rsid w:val="00D97447"/>
    <w:rsid w:val="00D97C1B"/>
    <w:rsid w:val="00DA3C3D"/>
    <w:rsid w:val="00DB107F"/>
    <w:rsid w:val="00DB23AF"/>
    <w:rsid w:val="00DB3CF2"/>
    <w:rsid w:val="00DB472A"/>
    <w:rsid w:val="00DB4A12"/>
    <w:rsid w:val="00DC1D6F"/>
    <w:rsid w:val="00DC209A"/>
    <w:rsid w:val="00DC2483"/>
    <w:rsid w:val="00DC5BEF"/>
    <w:rsid w:val="00DD2256"/>
    <w:rsid w:val="00DD380C"/>
    <w:rsid w:val="00DD4F02"/>
    <w:rsid w:val="00DE106D"/>
    <w:rsid w:val="00DE10EA"/>
    <w:rsid w:val="00DE20BC"/>
    <w:rsid w:val="00DE496C"/>
    <w:rsid w:val="00DE5632"/>
    <w:rsid w:val="00DF092D"/>
    <w:rsid w:val="00DF1168"/>
    <w:rsid w:val="00DF1F8E"/>
    <w:rsid w:val="00DF26EB"/>
    <w:rsid w:val="00DF33F4"/>
    <w:rsid w:val="00DF341F"/>
    <w:rsid w:val="00DF3862"/>
    <w:rsid w:val="00DF4852"/>
    <w:rsid w:val="00DF4EC6"/>
    <w:rsid w:val="00DF4F74"/>
    <w:rsid w:val="00DF59D2"/>
    <w:rsid w:val="00DF74C3"/>
    <w:rsid w:val="00DF79CD"/>
    <w:rsid w:val="00E015C0"/>
    <w:rsid w:val="00E02184"/>
    <w:rsid w:val="00E02B23"/>
    <w:rsid w:val="00E037F1"/>
    <w:rsid w:val="00E04F06"/>
    <w:rsid w:val="00E0544A"/>
    <w:rsid w:val="00E05C01"/>
    <w:rsid w:val="00E06495"/>
    <w:rsid w:val="00E064E7"/>
    <w:rsid w:val="00E06A1A"/>
    <w:rsid w:val="00E11B54"/>
    <w:rsid w:val="00E12E27"/>
    <w:rsid w:val="00E12F24"/>
    <w:rsid w:val="00E15488"/>
    <w:rsid w:val="00E16F64"/>
    <w:rsid w:val="00E2037A"/>
    <w:rsid w:val="00E21597"/>
    <w:rsid w:val="00E24461"/>
    <w:rsid w:val="00E26D7F"/>
    <w:rsid w:val="00E27599"/>
    <w:rsid w:val="00E2770A"/>
    <w:rsid w:val="00E27F78"/>
    <w:rsid w:val="00E322B0"/>
    <w:rsid w:val="00E327CF"/>
    <w:rsid w:val="00E3421A"/>
    <w:rsid w:val="00E34E24"/>
    <w:rsid w:val="00E35CF2"/>
    <w:rsid w:val="00E35D8B"/>
    <w:rsid w:val="00E36190"/>
    <w:rsid w:val="00E363D9"/>
    <w:rsid w:val="00E3782E"/>
    <w:rsid w:val="00E37AEB"/>
    <w:rsid w:val="00E40ADA"/>
    <w:rsid w:val="00E4179C"/>
    <w:rsid w:val="00E4308F"/>
    <w:rsid w:val="00E436AB"/>
    <w:rsid w:val="00E45392"/>
    <w:rsid w:val="00E47903"/>
    <w:rsid w:val="00E50D8B"/>
    <w:rsid w:val="00E51A31"/>
    <w:rsid w:val="00E53592"/>
    <w:rsid w:val="00E538A2"/>
    <w:rsid w:val="00E56364"/>
    <w:rsid w:val="00E56C8C"/>
    <w:rsid w:val="00E57276"/>
    <w:rsid w:val="00E60290"/>
    <w:rsid w:val="00E61854"/>
    <w:rsid w:val="00E61E84"/>
    <w:rsid w:val="00E62590"/>
    <w:rsid w:val="00E62D55"/>
    <w:rsid w:val="00E630C7"/>
    <w:rsid w:val="00E633AF"/>
    <w:rsid w:val="00E63B2A"/>
    <w:rsid w:val="00E6401B"/>
    <w:rsid w:val="00E64A68"/>
    <w:rsid w:val="00E66737"/>
    <w:rsid w:val="00E7149C"/>
    <w:rsid w:val="00E72113"/>
    <w:rsid w:val="00E72F9F"/>
    <w:rsid w:val="00E7348C"/>
    <w:rsid w:val="00E73C42"/>
    <w:rsid w:val="00E776DE"/>
    <w:rsid w:val="00E778BE"/>
    <w:rsid w:val="00E779BE"/>
    <w:rsid w:val="00E80451"/>
    <w:rsid w:val="00E82D32"/>
    <w:rsid w:val="00E86009"/>
    <w:rsid w:val="00E87651"/>
    <w:rsid w:val="00E87DBF"/>
    <w:rsid w:val="00E9122B"/>
    <w:rsid w:val="00E91775"/>
    <w:rsid w:val="00E926E0"/>
    <w:rsid w:val="00E92940"/>
    <w:rsid w:val="00E943B5"/>
    <w:rsid w:val="00E94E8D"/>
    <w:rsid w:val="00E95532"/>
    <w:rsid w:val="00E96DBE"/>
    <w:rsid w:val="00EA0B98"/>
    <w:rsid w:val="00EA1146"/>
    <w:rsid w:val="00EA2885"/>
    <w:rsid w:val="00EA292D"/>
    <w:rsid w:val="00EA31EA"/>
    <w:rsid w:val="00EA48F0"/>
    <w:rsid w:val="00EA6C7C"/>
    <w:rsid w:val="00EB1D35"/>
    <w:rsid w:val="00EB54B6"/>
    <w:rsid w:val="00EB559A"/>
    <w:rsid w:val="00EB6174"/>
    <w:rsid w:val="00EB786F"/>
    <w:rsid w:val="00EC043B"/>
    <w:rsid w:val="00EC506C"/>
    <w:rsid w:val="00ED032F"/>
    <w:rsid w:val="00ED1090"/>
    <w:rsid w:val="00ED44CF"/>
    <w:rsid w:val="00ED4610"/>
    <w:rsid w:val="00ED485D"/>
    <w:rsid w:val="00ED5864"/>
    <w:rsid w:val="00EE1343"/>
    <w:rsid w:val="00EE15AC"/>
    <w:rsid w:val="00EE2434"/>
    <w:rsid w:val="00EE25DB"/>
    <w:rsid w:val="00EE2AEF"/>
    <w:rsid w:val="00EF0BC6"/>
    <w:rsid w:val="00EF4502"/>
    <w:rsid w:val="00EF6B50"/>
    <w:rsid w:val="00EF7691"/>
    <w:rsid w:val="00F011C9"/>
    <w:rsid w:val="00F01E97"/>
    <w:rsid w:val="00F01EFE"/>
    <w:rsid w:val="00F02506"/>
    <w:rsid w:val="00F02B8D"/>
    <w:rsid w:val="00F0420B"/>
    <w:rsid w:val="00F0762E"/>
    <w:rsid w:val="00F07893"/>
    <w:rsid w:val="00F07FA3"/>
    <w:rsid w:val="00F103D2"/>
    <w:rsid w:val="00F11B73"/>
    <w:rsid w:val="00F12224"/>
    <w:rsid w:val="00F12AC3"/>
    <w:rsid w:val="00F1445A"/>
    <w:rsid w:val="00F1667E"/>
    <w:rsid w:val="00F17499"/>
    <w:rsid w:val="00F22E76"/>
    <w:rsid w:val="00F233B0"/>
    <w:rsid w:val="00F23FFB"/>
    <w:rsid w:val="00F2460B"/>
    <w:rsid w:val="00F33971"/>
    <w:rsid w:val="00F34002"/>
    <w:rsid w:val="00F36225"/>
    <w:rsid w:val="00F3667C"/>
    <w:rsid w:val="00F37E34"/>
    <w:rsid w:val="00F4084D"/>
    <w:rsid w:val="00F41258"/>
    <w:rsid w:val="00F41EF1"/>
    <w:rsid w:val="00F44B9F"/>
    <w:rsid w:val="00F45436"/>
    <w:rsid w:val="00F45E04"/>
    <w:rsid w:val="00F46BBB"/>
    <w:rsid w:val="00F5302E"/>
    <w:rsid w:val="00F5373B"/>
    <w:rsid w:val="00F550A8"/>
    <w:rsid w:val="00F55146"/>
    <w:rsid w:val="00F576C4"/>
    <w:rsid w:val="00F6046A"/>
    <w:rsid w:val="00F6059F"/>
    <w:rsid w:val="00F61D04"/>
    <w:rsid w:val="00F6246A"/>
    <w:rsid w:val="00F62735"/>
    <w:rsid w:val="00F63D8A"/>
    <w:rsid w:val="00F64D6A"/>
    <w:rsid w:val="00F65A04"/>
    <w:rsid w:val="00F701C3"/>
    <w:rsid w:val="00F711C8"/>
    <w:rsid w:val="00F72487"/>
    <w:rsid w:val="00F772D1"/>
    <w:rsid w:val="00F77B64"/>
    <w:rsid w:val="00F802E8"/>
    <w:rsid w:val="00F8031F"/>
    <w:rsid w:val="00F80384"/>
    <w:rsid w:val="00F845A9"/>
    <w:rsid w:val="00F8642C"/>
    <w:rsid w:val="00F92889"/>
    <w:rsid w:val="00F932CB"/>
    <w:rsid w:val="00F93F53"/>
    <w:rsid w:val="00F94DFB"/>
    <w:rsid w:val="00F94F29"/>
    <w:rsid w:val="00F96035"/>
    <w:rsid w:val="00F97655"/>
    <w:rsid w:val="00F9795F"/>
    <w:rsid w:val="00FA1AD7"/>
    <w:rsid w:val="00FA48C4"/>
    <w:rsid w:val="00FA4C38"/>
    <w:rsid w:val="00FA501B"/>
    <w:rsid w:val="00FA61EC"/>
    <w:rsid w:val="00FA62C9"/>
    <w:rsid w:val="00FA734D"/>
    <w:rsid w:val="00FA7F9A"/>
    <w:rsid w:val="00FB07CB"/>
    <w:rsid w:val="00FB2182"/>
    <w:rsid w:val="00FB2760"/>
    <w:rsid w:val="00FB2FEF"/>
    <w:rsid w:val="00FB467B"/>
    <w:rsid w:val="00FB512D"/>
    <w:rsid w:val="00FB520D"/>
    <w:rsid w:val="00FB71A3"/>
    <w:rsid w:val="00FC0C38"/>
    <w:rsid w:val="00FC1615"/>
    <w:rsid w:val="00FC2885"/>
    <w:rsid w:val="00FC295A"/>
    <w:rsid w:val="00FC53AF"/>
    <w:rsid w:val="00FC55E4"/>
    <w:rsid w:val="00FC6358"/>
    <w:rsid w:val="00FC684F"/>
    <w:rsid w:val="00FC6F95"/>
    <w:rsid w:val="00FD1D2D"/>
    <w:rsid w:val="00FD1D5C"/>
    <w:rsid w:val="00FD283F"/>
    <w:rsid w:val="00FD3A18"/>
    <w:rsid w:val="00FD4324"/>
    <w:rsid w:val="00FD45EA"/>
    <w:rsid w:val="00FD6721"/>
    <w:rsid w:val="00FF083D"/>
    <w:rsid w:val="00FF0A39"/>
    <w:rsid w:val="00FF17A2"/>
    <w:rsid w:val="00FF1A4A"/>
    <w:rsid w:val="00FF1EC9"/>
    <w:rsid w:val="00FF3150"/>
    <w:rsid w:val="00FF49BD"/>
    <w:rsid w:val="00FF73BA"/>
    <w:rsid w:val="298410E1"/>
    <w:rsid w:val="60FAB3F3"/>
    <w:rsid w:val="669EE2C1"/>
    <w:rsid w:val="794AF2D3"/>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942D1E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9D4433"/>
    <w:pPr>
      <w:pBdr>
        <w:top w:val="none" w:sz="4" w:space="0" w:color="000000"/>
        <w:left w:val="none" w:sz="4" w:space="0" w:color="000000"/>
        <w:bottom w:val="none" w:sz="4" w:space="0" w:color="000000"/>
        <w:right w:val="none" w:sz="4" w:space="0" w:color="000000"/>
        <w:between w:val="none" w:sz="4" w:space="0" w:color="000000"/>
      </w:pBdr>
      <w:spacing w:before="67" w:after="0" w:line="276" w:lineRule="auto"/>
      <w:jc w:val="both"/>
    </w:pPr>
    <w:rPr>
      <w:rFonts w:ascii="Arial" w:eastAsia="Arial" w:hAnsi="Arial" w:cs="Arial"/>
      <w:spacing w:val="4"/>
    </w:rPr>
  </w:style>
  <w:style w:type="paragraph" w:styleId="berschrift1">
    <w:name w:val="heading 1"/>
    <w:basedOn w:val="Standard"/>
    <w:next w:val="Standard"/>
    <w:link w:val="berschrift1Zchn"/>
    <w:uiPriority w:val="9"/>
    <w:qFormat/>
    <w:rsid w:val="00232CB1"/>
    <w:pPr>
      <w:numPr>
        <w:numId w:val="38"/>
      </w:numPr>
      <w:spacing w:before="237" w:line="205" w:lineRule="exact"/>
      <w:outlineLvl w:val="0"/>
    </w:pPr>
    <w:rPr>
      <w:b/>
      <w:spacing w:val="11"/>
    </w:rPr>
  </w:style>
  <w:style w:type="paragraph" w:styleId="berschrift2">
    <w:name w:val="heading 2"/>
    <w:basedOn w:val="Standard"/>
    <w:next w:val="Standard"/>
    <w:link w:val="berschrift2Zchn"/>
    <w:uiPriority w:val="9"/>
    <w:unhideWhenUsed/>
    <w:qFormat/>
    <w:rsid w:val="00232CB1"/>
    <w:pPr>
      <w:numPr>
        <w:ilvl w:val="1"/>
        <w:numId w:val="38"/>
      </w:numPr>
      <w:spacing w:before="209" w:after="120" w:line="204" w:lineRule="exact"/>
      <w:outlineLvl w:val="1"/>
    </w:pPr>
    <w:rPr>
      <w:b/>
      <w:spacing w:val="9"/>
    </w:rPr>
  </w:style>
  <w:style w:type="paragraph" w:styleId="berschrift3">
    <w:name w:val="heading 3"/>
    <w:basedOn w:val="berschrift2"/>
    <w:next w:val="Standard"/>
    <w:link w:val="berschrift3Zchn"/>
    <w:uiPriority w:val="9"/>
    <w:unhideWhenUsed/>
    <w:qFormat/>
    <w:rsid w:val="004F29DB"/>
    <w:pPr>
      <w:keepNext/>
      <w:keepLines/>
      <w:numPr>
        <w:ilvl w:val="2"/>
      </w:numPr>
      <w:spacing w:before="320" w:after="200"/>
      <w:outlineLvl w:val="2"/>
    </w:pPr>
    <w:rPr>
      <w:szCs w:val="30"/>
    </w:rPr>
  </w:style>
  <w:style w:type="paragraph" w:styleId="berschrift4">
    <w:name w:val="heading 4"/>
    <w:basedOn w:val="Standard"/>
    <w:next w:val="Standard"/>
    <w:link w:val="berschrift4Zchn"/>
    <w:uiPriority w:val="9"/>
    <w:unhideWhenUsed/>
    <w:qFormat/>
    <w:rsid w:val="004B7B6D"/>
    <w:pPr>
      <w:keepNext/>
      <w:keepLines/>
      <w:numPr>
        <w:numId w:val="43"/>
      </w:numPr>
      <w:ind w:left="714" w:hanging="357"/>
      <w:contextualSpacing/>
      <w:outlineLvl w:val="3"/>
    </w:pPr>
    <w:rPr>
      <w:b/>
      <w:bCs/>
      <w:szCs w:val="26"/>
    </w:rPr>
  </w:style>
  <w:style w:type="paragraph" w:styleId="berschrift5">
    <w:name w:val="heading 5"/>
    <w:basedOn w:val="Standard"/>
    <w:next w:val="Standard"/>
    <w:link w:val="berschrift5Zchn"/>
    <w:uiPriority w:val="9"/>
    <w:unhideWhenUsed/>
    <w:qFormat/>
    <w:rsid w:val="00232CB1"/>
    <w:pPr>
      <w:keepNext/>
      <w:keepLines/>
      <w:numPr>
        <w:ilvl w:val="4"/>
        <w:numId w:val="38"/>
      </w:numPr>
      <w:spacing w:before="320" w:after="200"/>
      <w:outlineLvl w:val="4"/>
    </w:pPr>
    <w:rPr>
      <w:b/>
      <w:bCs/>
      <w:sz w:val="24"/>
      <w:szCs w:val="24"/>
    </w:rPr>
  </w:style>
  <w:style w:type="paragraph" w:styleId="berschrift6">
    <w:name w:val="heading 6"/>
    <w:basedOn w:val="Standard"/>
    <w:next w:val="Standard"/>
    <w:link w:val="berschrift6Zchn"/>
    <w:uiPriority w:val="9"/>
    <w:unhideWhenUsed/>
    <w:qFormat/>
    <w:rsid w:val="00232CB1"/>
    <w:pPr>
      <w:keepNext/>
      <w:keepLines/>
      <w:numPr>
        <w:ilvl w:val="5"/>
        <w:numId w:val="38"/>
      </w:numPr>
      <w:spacing w:before="320" w:after="200"/>
      <w:outlineLvl w:val="5"/>
    </w:pPr>
    <w:rPr>
      <w:b/>
      <w:bCs/>
    </w:rPr>
  </w:style>
  <w:style w:type="paragraph" w:styleId="berschrift7">
    <w:name w:val="heading 7"/>
    <w:basedOn w:val="Standard"/>
    <w:next w:val="Standard"/>
    <w:link w:val="berschrift7Zchn"/>
    <w:uiPriority w:val="9"/>
    <w:unhideWhenUsed/>
    <w:qFormat/>
    <w:rsid w:val="00232CB1"/>
    <w:pPr>
      <w:keepNext/>
      <w:keepLines/>
      <w:numPr>
        <w:ilvl w:val="6"/>
        <w:numId w:val="38"/>
      </w:numPr>
      <w:spacing w:before="320" w:after="200"/>
      <w:outlineLvl w:val="6"/>
    </w:pPr>
    <w:rPr>
      <w:b/>
      <w:bCs/>
      <w:i/>
      <w:iCs/>
    </w:rPr>
  </w:style>
  <w:style w:type="paragraph" w:styleId="berschrift8">
    <w:name w:val="heading 8"/>
    <w:basedOn w:val="Standard"/>
    <w:next w:val="Standard"/>
    <w:link w:val="berschrift8Zchn"/>
    <w:uiPriority w:val="9"/>
    <w:unhideWhenUsed/>
    <w:qFormat/>
    <w:rsid w:val="00232CB1"/>
    <w:pPr>
      <w:keepNext/>
      <w:keepLines/>
      <w:numPr>
        <w:ilvl w:val="7"/>
        <w:numId w:val="38"/>
      </w:numPr>
      <w:spacing w:before="320" w:after="200"/>
      <w:outlineLvl w:val="7"/>
    </w:pPr>
    <w:rPr>
      <w:i/>
      <w:iCs/>
    </w:rPr>
  </w:style>
  <w:style w:type="paragraph" w:styleId="berschrift9">
    <w:name w:val="heading 9"/>
    <w:basedOn w:val="Standard"/>
    <w:next w:val="Standard"/>
    <w:link w:val="berschrift9Zchn"/>
    <w:uiPriority w:val="9"/>
    <w:unhideWhenUsed/>
    <w:qFormat/>
    <w:rsid w:val="00232CB1"/>
    <w:pPr>
      <w:keepNext/>
      <w:keepLines/>
      <w:numPr>
        <w:ilvl w:val="8"/>
        <w:numId w:val="38"/>
      </w:numPr>
      <w:spacing w:before="320" w:after="200"/>
      <w:outlineLvl w:val="8"/>
    </w:pPr>
    <w:rPr>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32CB1"/>
    <w:rPr>
      <w:rFonts w:ascii="Arial" w:eastAsia="Arial" w:hAnsi="Arial" w:cs="Arial"/>
      <w:b/>
      <w:spacing w:val="11"/>
    </w:rPr>
  </w:style>
  <w:style w:type="character" w:customStyle="1" w:styleId="berschrift2Zchn">
    <w:name w:val="Überschrift 2 Zchn"/>
    <w:basedOn w:val="Absatz-Standardschriftart"/>
    <w:link w:val="berschrift2"/>
    <w:uiPriority w:val="9"/>
    <w:rsid w:val="00232CB1"/>
    <w:rPr>
      <w:rFonts w:ascii="Arial" w:eastAsia="Arial" w:hAnsi="Arial" w:cs="Arial"/>
      <w:b/>
      <w:spacing w:val="9"/>
    </w:rPr>
  </w:style>
  <w:style w:type="character" w:customStyle="1" w:styleId="berschrift3Zchn">
    <w:name w:val="Überschrift 3 Zchn"/>
    <w:basedOn w:val="Absatz-Standardschriftart"/>
    <w:link w:val="berschrift3"/>
    <w:uiPriority w:val="9"/>
    <w:rsid w:val="00232CB1"/>
    <w:rPr>
      <w:rFonts w:ascii="Arial" w:eastAsia="Arial" w:hAnsi="Arial" w:cs="Arial"/>
      <w:b/>
      <w:spacing w:val="9"/>
      <w:szCs w:val="30"/>
    </w:rPr>
  </w:style>
  <w:style w:type="character" w:customStyle="1" w:styleId="berschrift4Zchn">
    <w:name w:val="Überschrift 4 Zchn"/>
    <w:basedOn w:val="Absatz-Standardschriftart"/>
    <w:link w:val="berschrift4"/>
    <w:uiPriority w:val="9"/>
    <w:rsid w:val="00232CB1"/>
    <w:rPr>
      <w:rFonts w:ascii="Arial" w:eastAsia="Arial" w:hAnsi="Arial" w:cs="Arial"/>
      <w:b/>
      <w:bCs/>
      <w:spacing w:val="4"/>
      <w:szCs w:val="26"/>
    </w:rPr>
  </w:style>
  <w:style w:type="character" w:customStyle="1" w:styleId="berschrift5Zchn">
    <w:name w:val="Überschrift 5 Zchn"/>
    <w:basedOn w:val="Absatz-Standardschriftart"/>
    <w:link w:val="berschrift5"/>
    <w:uiPriority w:val="9"/>
    <w:rsid w:val="00232CB1"/>
    <w:rPr>
      <w:rFonts w:ascii="Arial" w:eastAsia="Arial" w:hAnsi="Arial" w:cs="Arial"/>
      <w:b/>
      <w:bCs/>
      <w:spacing w:val="4"/>
      <w:sz w:val="24"/>
      <w:szCs w:val="24"/>
    </w:rPr>
  </w:style>
  <w:style w:type="character" w:customStyle="1" w:styleId="berschrift6Zchn">
    <w:name w:val="Überschrift 6 Zchn"/>
    <w:basedOn w:val="Absatz-Standardschriftart"/>
    <w:link w:val="berschrift6"/>
    <w:uiPriority w:val="9"/>
    <w:rsid w:val="00232CB1"/>
    <w:rPr>
      <w:rFonts w:ascii="Arial" w:eastAsia="Arial" w:hAnsi="Arial" w:cs="Arial"/>
      <w:b/>
      <w:bCs/>
      <w:spacing w:val="4"/>
    </w:rPr>
  </w:style>
  <w:style w:type="character" w:customStyle="1" w:styleId="berschrift7Zchn">
    <w:name w:val="Überschrift 7 Zchn"/>
    <w:basedOn w:val="Absatz-Standardschriftart"/>
    <w:link w:val="berschrift7"/>
    <w:uiPriority w:val="9"/>
    <w:rsid w:val="00232CB1"/>
    <w:rPr>
      <w:rFonts w:ascii="Arial" w:eastAsia="Arial" w:hAnsi="Arial" w:cs="Arial"/>
      <w:b/>
      <w:bCs/>
      <w:i/>
      <w:iCs/>
      <w:spacing w:val="4"/>
    </w:rPr>
  </w:style>
  <w:style w:type="character" w:customStyle="1" w:styleId="berschrift8Zchn">
    <w:name w:val="Überschrift 8 Zchn"/>
    <w:basedOn w:val="Absatz-Standardschriftart"/>
    <w:link w:val="berschrift8"/>
    <w:uiPriority w:val="9"/>
    <w:rsid w:val="00232CB1"/>
    <w:rPr>
      <w:rFonts w:ascii="Arial" w:eastAsia="Arial" w:hAnsi="Arial" w:cs="Arial"/>
      <w:i/>
      <w:iCs/>
      <w:spacing w:val="4"/>
    </w:rPr>
  </w:style>
  <w:style w:type="character" w:customStyle="1" w:styleId="berschrift9Zchn">
    <w:name w:val="Überschrift 9 Zchn"/>
    <w:basedOn w:val="Absatz-Standardschriftart"/>
    <w:link w:val="berschrift9"/>
    <w:uiPriority w:val="9"/>
    <w:rsid w:val="00232CB1"/>
    <w:rPr>
      <w:rFonts w:ascii="Arial" w:eastAsia="Arial" w:hAnsi="Arial" w:cs="Arial"/>
      <w:i/>
      <w:iCs/>
      <w:spacing w:val="4"/>
      <w:sz w:val="21"/>
      <w:szCs w:val="21"/>
    </w:rPr>
  </w:style>
  <w:style w:type="character" w:customStyle="1" w:styleId="Heading1Char">
    <w:name w:val="Heading 1 Char"/>
    <w:basedOn w:val="Absatz-Standardschriftart"/>
    <w:uiPriority w:val="9"/>
    <w:rsid w:val="00232CB1"/>
    <w:rPr>
      <w:rFonts w:ascii="Arial" w:eastAsia="Arial" w:hAnsi="Arial" w:cs="Arial"/>
      <w:sz w:val="40"/>
      <w:szCs w:val="40"/>
    </w:rPr>
  </w:style>
  <w:style w:type="character" w:customStyle="1" w:styleId="Heading2Char">
    <w:name w:val="Heading 2 Char"/>
    <w:basedOn w:val="Absatz-Standardschriftart"/>
    <w:uiPriority w:val="9"/>
    <w:rsid w:val="00232CB1"/>
    <w:rPr>
      <w:rFonts w:ascii="Arial" w:eastAsia="Arial" w:hAnsi="Arial" w:cs="Arial"/>
      <w:sz w:val="34"/>
    </w:rPr>
  </w:style>
  <w:style w:type="character" w:customStyle="1" w:styleId="Heading3Char">
    <w:name w:val="Heading 3 Char"/>
    <w:basedOn w:val="Absatz-Standardschriftart"/>
    <w:uiPriority w:val="9"/>
    <w:rsid w:val="00232CB1"/>
    <w:rPr>
      <w:rFonts w:ascii="Arial" w:eastAsia="Arial" w:hAnsi="Arial" w:cs="Arial"/>
      <w:sz w:val="30"/>
      <w:szCs w:val="30"/>
    </w:rPr>
  </w:style>
  <w:style w:type="character" w:customStyle="1" w:styleId="Heading4Char">
    <w:name w:val="Heading 4 Char"/>
    <w:basedOn w:val="Absatz-Standardschriftart"/>
    <w:uiPriority w:val="9"/>
    <w:rsid w:val="00232CB1"/>
    <w:rPr>
      <w:rFonts w:ascii="Arial" w:eastAsia="Arial" w:hAnsi="Arial" w:cs="Arial"/>
      <w:b/>
      <w:bCs/>
      <w:sz w:val="26"/>
      <w:szCs w:val="26"/>
    </w:rPr>
  </w:style>
  <w:style w:type="character" w:customStyle="1" w:styleId="Heading5Char">
    <w:name w:val="Heading 5 Char"/>
    <w:basedOn w:val="Absatz-Standardschriftart"/>
    <w:uiPriority w:val="9"/>
    <w:rsid w:val="00232CB1"/>
    <w:rPr>
      <w:rFonts w:ascii="Arial" w:eastAsia="Arial" w:hAnsi="Arial" w:cs="Arial"/>
      <w:b/>
      <w:bCs/>
      <w:sz w:val="24"/>
      <w:szCs w:val="24"/>
    </w:rPr>
  </w:style>
  <w:style w:type="character" w:customStyle="1" w:styleId="Heading6Char">
    <w:name w:val="Heading 6 Char"/>
    <w:basedOn w:val="Absatz-Standardschriftart"/>
    <w:uiPriority w:val="9"/>
    <w:rsid w:val="00232CB1"/>
    <w:rPr>
      <w:rFonts w:ascii="Arial" w:eastAsia="Arial" w:hAnsi="Arial" w:cs="Arial"/>
      <w:b/>
      <w:bCs/>
      <w:sz w:val="22"/>
      <w:szCs w:val="22"/>
    </w:rPr>
  </w:style>
  <w:style w:type="character" w:customStyle="1" w:styleId="Heading7Char">
    <w:name w:val="Heading 7 Char"/>
    <w:basedOn w:val="Absatz-Standardschriftart"/>
    <w:uiPriority w:val="9"/>
    <w:rsid w:val="00232CB1"/>
    <w:rPr>
      <w:rFonts w:ascii="Arial" w:eastAsia="Arial" w:hAnsi="Arial" w:cs="Arial"/>
      <w:b/>
      <w:bCs/>
      <w:i/>
      <w:iCs/>
      <w:sz w:val="22"/>
      <w:szCs w:val="22"/>
    </w:rPr>
  </w:style>
  <w:style w:type="character" w:customStyle="1" w:styleId="Heading8Char">
    <w:name w:val="Heading 8 Char"/>
    <w:basedOn w:val="Absatz-Standardschriftart"/>
    <w:uiPriority w:val="9"/>
    <w:rsid w:val="00232CB1"/>
    <w:rPr>
      <w:rFonts w:ascii="Arial" w:eastAsia="Arial" w:hAnsi="Arial" w:cs="Arial"/>
      <w:i/>
      <w:iCs/>
      <w:sz w:val="22"/>
      <w:szCs w:val="22"/>
    </w:rPr>
  </w:style>
  <w:style w:type="character" w:customStyle="1" w:styleId="Heading9Char">
    <w:name w:val="Heading 9 Char"/>
    <w:basedOn w:val="Absatz-Standardschriftart"/>
    <w:uiPriority w:val="9"/>
    <w:rsid w:val="00232CB1"/>
    <w:rPr>
      <w:rFonts w:ascii="Arial" w:eastAsia="Arial" w:hAnsi="Arial" w:cs="Arial"/>
      <w:i/>
      <w:iCs/>
      <w:sz w:val="21"/>
      <w:szCs w:val="21"/>
    </w:rPr>
  </w:style>
  <w:style w:type="character" w:customStyle="1" w:styleId="TitleChar">
    <w:name w:val="Title Char"/>
    <w:basedOn w:val="Absatz-Standardschriftart"/>
    <w:uiPriority w:val="10"/>
    <w:rsid w:val="00232CB1"/>
    <w:rPr>
      <w:sz w:val="48"/>
      <w:szCs w:val="48"/>
    </w:rPr>
  </w:style>
  <w:style w:type="character" w:customStyle="1" w:styleId="SubtitleChar">
    <w:name w:val="Subtitle Char"/>
    <w:basedOn w:val="Absatz-Standardschriftart"/>
    <w:uiPriority w:val="11"/>
    <w:rsid w:val="00232CB1"/>
    <w:rPr>
      <w:sz w:val="24"/>
      <w:szCs w:val="24"/>
    </w:rPr>
  </w:style>
  <w:style w:type="character" w:customStyle="1" w:styleId="QuoteChar">
    <w:name w:val="Quote Char"/>
    <w:uiPriority w:val="29"/>
    <w:rsid w:val="00232CB1"/>
    <w:rPr>
      <w:i/>
    </w:rPr>
  </w:style>
  <w:style w:type="character" w:customStyle="1" w:styleId="IntenseQuoteChar">
    <w:name w:val="Intense Quote Char"/>
    <w:uiPriority w:val="30"/>
    <w:rsid w:val="00232CB1"/>
    <w:rPr>
      <w:i/>
    </w:rPr>
  </w:style>
  <w:style w:type="character" w:customStyle="1" w:styleId="HeaderChar">
    <w:name w:val="Header Char"/>
    <w:basedOn w:val="Absatz-Standardschriftart"/>
    <w:uiPriority w:val="99"/>
    <w:rsid w:val="00232CB1"/>
  </w:style>
  <w:style w:type="character" w:customStyle="1" w:styleId="CaptionChar">
    <w:name w:val="Caption Char"/>
    <w:uiPriority w:val="99"/>
    <w:rsid w:val="00232CB1"/>
  </w:style>
  <w:style w:type="character" w:customStyle="1" w:styleId="FootnoteTextChar">
    <w:name w:val="Footnote Text Char"/>
    <w:uiPriority w:val="99"/>
    <w:rsid w:val="00232CB1"/>
    <w:rPr>
      <w:sz w:val="18"/>
    </w:rPr>
  </w:style>
  <w:style w:type="character" w:customStyle="1" w:styleId="EndnoteTextChar">
    <w:name w:val="Endnote Text Char"/>
    <w:uiPriority w:val="99"/>
    <w:rsid w:val="00232CB1"/>
    <w:rPr>
      <w:sz w:val="20"/>
    </w:rPr>
  </w:style>
  <w:style w:type="paragraph" w:styleId="Listenabsatz">
    <w:name w:val="List Paragraph"/>
    <w:aliases w:val="Listenabsatz KfW"/>
    <w:basedOn w:val="Standard"/>
    <w:uiPriority w:val="34"/>
    <w:qFormat/>
    <w:rsid w:val="00232CB1"/>
    <w:pPr>
      <w:ind w:left="720"/>
      <w:contextualSpacing/>
    </w:pPr>
  </w:style>
  <w:style w:type="paragraph" w:styleId="KeinLeerraum">
    <w:name w:val="No Spacing"/>
    <w:uiPriority w:val="1"/>
    <w:qFormat/>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style>
  <w:style w:type="paragraph" w:styleId="Titel">
    <w:name w:val="Title"/>
    <w:basedOn w:val="Standard"/>
    <w:next w:val="Standard"/>
    <w:link w:val="TitelZchn"/>
    <w:uiPriority w:val="10"/>
    <w:qFormat/>
    <w:rsid w:val="00232CB1"/>
    <w:pPr>
      <w:spacing w:before="300" w:after="200"/>
      <w:contextualSpacing/>
    </w:pPr>
    <w:rPr>
      <w:sz w:val="48"/>
      <w:szCs w:val="48"/>
    </w:rPr>
  </w:style>
  <w:style w:type="character" w:customStyle="1" w:styleId="TitelZchn">
    <w:name w:val="Titel Zchn"/>
    <w:basedOn w:val="Absatz-Standardschriftart"/>
    <w:link w:val="Titel"/>
    <w:uiPriority w:val="10"/>
    <w:rsid w:val="00232CB1"/>
    <w:rPr>
      <w:rFonts w:ascii="Arial" w:eastAsia="PMingLiU" w:hAnsi="Arial" w:cs="Times New Roman"/>
      <w:sz w:val="48"/>
      <w:szCs w:val="48"/>
    </w:rPr>
  </w:style>
  <w:style w:type="paragraph" w:styleId="Untertitel">
    <w:name w:val="Subtitle"/>
    <w:basedOn w:val="Standard"/>
    <w:next w:val="Standard"/>
    <w:link w:val="UntertitelZchn"/>
    <w:uiPriority w:val="11"/>
    <w:qFormat/>
    <w:rsid w:val="00232CB1"/>
    <w:pPr>
      <w:spacing w:before="200" w:after="200"/>
    </w:pPr>
    <w:rPr>
      <w:sz w:val="24"/>
      <w:szCs w:val="24"/>
    </w:rPr>
  </w:style>
  <w:style w:type="character" w:customStyle="1" w:styleId="UntertitelZchn">
    <w:name w:val="Untertitel Zchn"/>
    <w:basedOn w:val="Absatz-Standardschriftart"/>
    <w:link w:val="Untertitel"/>
    <w:uiPriority w:val="11"/>
    <w:rsid w:val="00232CB1"/>
    <w:rPr>
      <w:rFonts w:ascii="Arial" w:eastAsia="PMingLiU" w:hAnsi="Arial" w:cs="Times New Roman"/>
      <w:sz w:val="24"/>
      <w:szCs w:val="24"/>
    </w:rPr>
  </w:style>
  <w:style w:type="paragraph" w:styleId="Zitat">
    <w:name w:val="Quote"/>
    <w:basedOn w:val="Standard"/>
    <w:next w:val="Standard"/>
    <w:link w:val="ZitatZchn"/>
    <w:uiPriority w:val="29"/>
    <w:qFormat/>
    <w:rsid w:val="00232CB1"/>
    <w:pPr>
      <w:ind w:left="720" w:right="720"/>
    </w:pPr>
    <w:rPr>
      <w:i/>
    </w:rPr>
  </w:style>
  <w:style w:type="character" w:customStyle="1" w:styleId="ZitatZchn">
    <w:name w:val="Zitat Zchn"/>
    <w:basedOn w:val="Absatz-Standardschriftart"/>
    <w:link w:val="Zitat"/>
    <w:uiPriority w:val="29"/>
    <w:rsid w:val="00232CB1"/>
    <w:rPr>
      <w:rFonts w:ascii="Arial" w:eastAsia="PMingLiU" w:hAnsi="Arial" w:cs="Times New Roman"/>
      <w:i/>
      <w:sz w:val="18"/>
    </w:rPr>
  </w:style>
  <w:style w:type="paragraph" w:styleId="IntensivesZitat">
    <w:name w:val="Intense Quote"/>
    <w:basedOn w:val="Standard"/>
    <w:next w:val="Standard"/>
    <w:link w:val="IntensivesZitatZchn"/>
    <w:uiPriority w:val="30"/>
    <w:qFormat/>
    <w:rsid w:val="00232CB1"/>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basedOn w:val="Absatz-Standardschriftart"/>
    <w:link w:val="IntensivesZitat"/>
    <w:uiPriority w:val="30"/>
    <w:rsid w:val="00232CB1"/>
    <w:rPr>
      <w:rFonts w:ascii="Arial" w:eastAsia="PMingLiU" w:hAnsi="Arial" w:cs="Times New Roman"/>
      <w:i/>
      <w:sz w:val="18"/>
      <w:shd w:val="clear" w:color="auto" w:fill="F2F2F2"/>
    </w:rPr>
  </w:style>
  <w:style w:type="paragraph" w:styleId="Kopfzeile">
    <w:name w:val="header"/>
    <w:basedOn w:val="Standard"/>
    <w:link w:val="KopfzeileZchn"/>
    <w:uiPriority w:val="99"/>
    <w:unhideWhenUsed/>
    <w:rsid w:val="00232CB1"/>
    <w:pPr>
      <w:tabs>
        <w:tab w:val="center" w:pos="7143"/>
        <w:tab w:val="right" w:pos="14287"/>
      </w:tabs>
      <w:spacing w:line="240" w:lineRule="auto"/>
    </w:pPr>
  </w:style>
  <w:style w:type="character" w:customStyle="1" w:styleId="KopfzeileZchn">
    <w:name w:val="Kopfzeile Zchn"/>
    <w:basedOn w:val="Absatz-Standardschriftart"/>
    <w:link w:val="Kopfzeile"/>
    <w:uiPriority w:val="99"/>
    <w:rsid w:val="00232CB1"/>
    <w:rPr>
      <w:rFonts w:ascii="Arial" w:eastAsia="PMingLiU" w:hAnsi="Arial" w:cs="Times New Roman"/>
      <w:sz w:val="18"/>
    </w:rPr>
  </w:style>
  <w:style w:type="paragraph" w:styleId="Fuzeile">
    <w:name w:val="footer"/>
    <w:basedOn w:val="Standard"/>
    <w:link w:val="FuzeileZchn"/>
    <w:uiPriority w:val="99"/>
    <w:unhideWhenUsed/>
    <w:rsid w:val="00232CB1"/>
    <w:pPr>
      <w:tabs>
        <w:tab w:val="center" w:pos="7143"/>
        <w:tab w:val="right" w:pos="14287"/>
      </w:tabs>
      <w:spacing w:line="240" w:lineRule="auto"/>
    </w:pPr>
  </w:style>
  <w:style w:type="character" w:customStyle="1" w:styleId="FuzeileZchn">
    <w:name w:val="Fußzeile Zchn"/>
    <w:basedOn w:val="Absatz-Standardschriftart"/>
    <w:link w:val="Fuzeile"/>
    <w:uiPriority w:val="99"/>
    <w:rsid w:val="00232CB1"/>
    <w:rPr>
      <w:rFonts w:ascii="Arial" w:eastAsia="PMingLiU" w:hAnsi="Arial" w:cs="Times New Roman"/>
      <w:sz w:val="18"/>
    </w:rPr>
  </w:style>
  <w:style w:type="character" w:customStyle="1" w:styleId="FooterChar">
    <w:name w:val="Footer Char"/>
    <w:basedOn w:val="Absatz-Standardschriftart"/>
    <w:uiPriority w:val="99"/>
    <w:rsid w:val="00232CB1"/>
  </w:style>
  <w:style w:type="paragraph" w:styleId="Beschriftung">
    <w:name w:val="caption"/>
    <w:basedOn w:val="Standard"/>
    <w:next w:val="Standard"/>
    <w:uiPriority w:val="35"/>
    <w:semiHidden/>
    <w:unhideWhenUsed/>
    <w:qFormat/>
    <w:rsid w:val="00232CB1"/>
    <w:rPr>
      <w:b/>
      <w:bCs/>
      <w:color w:val="4472C4" w:themeColor="accent1"/>
      <w:szCs w:val="18"/>
    </w:rPr>
  </w:style>
  <w:style w:type="table" w:styleId="Tabellenraster">
    <w:name w:val="Table Grid"/>
    <w:basedOn w:val="NormaleTabelle"/>
    <w:uiPriority w:val="3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aleTabelle"/>
    <w:uiPriority w:val="5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EinfacheTabelle2">
    <w:name w:val="Plain Table 2"/>
    <w:basedOn w:val="NormaleTabelle"/>
    <w:uiPriority w:val="5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EinfacheTabelle4">
    <w:name w:val="Plain Table 4"/>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EinfacheTabelle5">
    <w:name w:val="Plain Table 5"/>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Gitternetztabelle1hell">
    <w:name w:val="Grid Table 1 Light"/>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auto" w:fill="FFFFFF"/>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2-Accent2">
    <w:name w:val="Grid Table 2 - Accent 2"/>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auto" w:fill="FFFFFF"/>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2-Accent6">
    <w:name w:val="Grid Table 2 - Accent 6"/>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Gitternetztabelle3">
    <w:name w:val="Grid Table 3"/>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3-Accent2">
    <w:name w:val="Grid Table 3 - Accent 2"/>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3-Accent6">
    <w:name w:val="Grid Table 3 - Accent 6"/>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Gitternetztabelle4">
    <w:name w:val="Grid Table 4"/>
    <w:basedOn w:val="NormaleTabelle"/>
    <w:uiPriority w:val="5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NormaleTabelle"/>
    <w:uiPriority w:val="5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auto"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3F3" w:themeFill="accent1" w:themeFillTint="32"/>
      </w:tcPr>
    </w:tblStylePr>
    <w:tblStylePr w:type="band1Horz">
      <w:rPr>
        <w:rFonts w:ascii="Arial" w:hAnsi="Arial"/>
        <w:color w:val="404040"/>
        <w:sz w:val="22"/>
      </w:rPr>
      <w:tblPr/>
      <w:tcPr>
        <w:shd w:val="clear" w:color="auto" w:fill="DAE3F3" w:themeFill="accent1" w:themeFillTint="32"/>
      </w:tcPr>
    </w:tblStylePr>
  </w:style>
  <w:style w:type="table" w:customStyle="1" w:styleId="GridTable4-Accent2">
    <w:name w:val="Grid Table 4 - Accent 2"/>
    <w:basedOn w:val="NormaleTabelle"/>
    <w:uiPriority w:val="5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NormaleTabelle"/>
    <w:uiPriority w:val="5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NormaleTabelle"/>
    <w:uiPriority w:val="5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NormaleTabelle"/>
    <w:uiPriority w:val="5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4-Accent6">
    <w:name w:val="Grid Table 4 - Accent 6"/>
    <w:basedOn w:val="NormaleTabelle"/>
    <w:uiPriority w:val="5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Gitternetztabelle5dunkel">
    <w:name w:val="Grid Table 5 Dark"/>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1" w:themeFillTint="34"/>
    </w:tblPr>
    <w:tblStylePr w:type="firstRow">
      <w:rPr>
        <w:rFonts w:ascii="Arial" w:hAnsi="Arial"/>
        <w:b/>
        <w:color w:val="FFFFFF"/>
        <w:sz w:val="22"/>
      </w:rPr>
      <w:tblPr/>
      <w:tcPr>
        <w:shd w:val="clear" w:color="auto" w:fill="4472C4" w:themeFill="accent1"/>
      </w:tcPr>
    </w:tblStylePr>
    <w:tblStylePr w:type="lastRow">
      <w:rPr>
        <w:rFonts w:ascii="Arial" w:hAnsi="Arial"/>
        <w:b/>
        <w:color w:val="FFFFFF"/>
        <w:sz w:val="22"/>
      </w:rPr>
      <w:tblPr/>
      <w:tcPr>
        <w:tcBorders>
          <w:top w:val="single" w:sz="4" w:space="0" w:color="FFFFFF" w:themeColor="light1"/>
        </w:tcBorders>
        <w:shd w:val="clear" w:color="auto" w:fill="4472C4" w:themeFill="accent1"/>
      </w:tcPr>
    </w:tblStylePr>
    <w:tblStylePr w:type="firstCol">
      <w:rPr>
        <w:rFonts w:ascii="Arial" w:hAnsi="Arial"/>
        <w:b/>
        <w:color w:val="FFFFFF"/>
        <w:sz w:val="22"/>
      </w:rPr>
      <w:tblPr/>
      <w:tcPr>
        <w:shd w:val="clear" w:color="auto" w:fill="4472C4" w:themeFill="accent1"/>
      </w:tcPr>
    </w:tblStylePr>
    <w:tblStylePr w:type="lastCol">
      <w:rPr>
        <w:rFonts w:ascii="Arial" w:hAnsi="Arial"/>
        <w:b/>
        <w:color w:val="FFFFFF"/>
        <w:sz w:val="22"/>
      </w:rPr>
      <w:tblPr/>
      <w:tcPr>
        <w:shd w:val="clear" w:color="auto" w:fill="4472C4" w:themeFill="accent1"/>
      </w:tcPr>
    </w:tblStylePr>
    <w:tblStylePr w:type="band1Vert">
      <w:tblPr/>
      <w:tcPr>
        <w:shd w:val="clear" w:color="auto" w:fill="A9BEE4" w:themeFill="accent1" w:themeFillTint="75"/>
      </w:tcPr>
    </w:tblStylePr>
    <w:tblStylePr w:type="band1Horz">
      <w:tblPr/>
      <w:tcPr>
        <w:shd w:val="clear" w:color="auto" w:fill="A9BEE4" w:themeFill="accent1" w:themeFillTint="75"/>
      </w:tcPr>
    </w:tblStylePr>
  </w:style>
  <w:style w:type="table" w:customStyle="1" w:styleId="GridTable5Dark-Accent2">
    <w:name w:val="Grid Table 5 Dark - Accent 2"/>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5" w:themeFillTint="34"/>
    </w:tblPr>
    <w:tblStylePr w:type="firstRow">
      <w:rPr>
        <w:rFonts w:ascii="Arial" w:hAnsi="Arial"/>
        <w:b/>
        <w:color w:val="FFFFFF"/>
        <w:sz w:val="22"/>
      </w:rPr>
      <w:tblPr/>
      <w:tcPr>
        <w:shd w:val="clear" w:color="auto" w:fill="5B9BD5" w:themeFill="accent5"/>
      </w:tcPr>
    </w:tblStylePr>
    <w:tblStylePr w:type="lastRow">
      <w:rPr>
        <w:rFonts w:ascii="Arial" w:hAnsi="Arial"/>
        <w:b/>
        <w:color w:val="FFFFFF"/>
        <w:sz w:val="22"/>
      </w:rPr>
      <w:tblPr/>
      <w:tcPr>
        <w:tcBorders>
          <w:top w:val="single" w:sz="4" w:space="0" w:color="FFFFFF" w:themeColor="light1"/>
        </w:tcBorders>
        <w:shd w:val="clear" w:color="auto" w:fill="5B9BD5" w:themeFill="accent5"/>
      </w:tcPr>
    </w:tblStylePr>
    <w:tblStylePr w:type="firstCol">
      <w:rPr>
        <w:rFonts w:ascii="Arial" w:hAnsi="Arial"/>
        <w:b/>
        <w:color w:val="FFFFFF"/>
        <w:sz w:val="22"/>
      </w:rPr>
      <w:tblPr/>
      <w:tcPr>
        <w:shd w:val="clear" w:color="auto" w:fill="5B9BD5" w:themeFill="accent5"/>
      </w:tcPr>
    </w:tblStylePr>
    <w:tblStylePr w:type="lastCol">
      <w:rPr>
        <w:rFonts w:ascii="Arial" w:hAnsi="Arial"/>
        <w:b/>
        <w:color w:val="FFFFFF"/>
        <w:sz w:val="22"/>
      </w:rPr>
      <w:tblPr/>
      <w:tcPr>
        <w:shd w:val="clear" w:color="auto" w:fill="5B9BD5" w:themeFill="accent5"/>
      </w:tcPr>
    </w:tblStylePr>
    <w:tblStylePr w:type="band1Vert">
      <w:tblPr/>
      <w:tcPr>
        <w:shd w:val="clear" w:color="auto" w:fill="B3D0EB" w:themeFill="accent5" w:themeFillTint="75"/>
      </w:tcPr>
    </w:tblStylePr>
    <w:tblStylePr w:type="band1Horz">
      <w:tblPr/>
      <w:tcPr>
        <w:shd w:val="clear" w:color="auto" w:fill="B3D0EB" w:themeFill="accent5" w:themeFillTint="75"/>
      </w:tcPr>
    </w:tblStylePr>
  </w:style>
  <w:style w:type="table" w:customStyle="1" w:styleId="GridTable5Dark-Accent6">
    <w:name w:val="Grid Table 5 Dark - Accent 6"/>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styleId="Gitternetztabelle6farbig">
    <w:name w:val="Grid Table 6 Colorful"/>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E1EFD8" w:themeFill="accent6" w:themeFillTint="34"/>
      </w:tcPr>
    </w:tblStylePr>
    <w:tblStylePr w:type="band1Horz">
      <w:rPr>
        <w:rFonts w:ascii="Arial" w:hAnsi="Arial"/>
        <w:color w:val="245A8D" w:themeColor="accent5" w:themeShade="95"/>
        <w:sz w:val="22"/>
      </w:rPr>
      <w:tblPr/>
      <w:tcPr>
        <w:shd w:val="clear" w:color="auto" w:fill="E1EFD8" w:themeFill="accent6" w:themeFillTint="34"/>
      </w:tcPr>
    </w:tblStylePr>
    <w:tblStylePr w:type="band2Horz">
      <w:rPr>
        <w:rFonts w:ascii="Arial" w:hAnsi="Arial"/>
        <w:color w:val="245A8D" w:themeColor="accent5" w:themeShade="95"/>
        <w:sz w:val="22"/>
      </w:rPr>
    </w:tblStylePr>
  </w:style>
  <w:style w:type="table" w:styleId="Gitternetztabelle7farbig">
    <w:name w:val="Grid Table 7 Colorful"/>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auto"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auto" w:fill="FFFFFF"/>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auto" w:fill="FFFFFF"/>
      </w:tc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auto"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auto" w:fill="FFFFFF"/>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auto" w:fill="FFFFFF"/>
      </w:tc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1" w:themeFillTint="40"/>
      </w:tcPr>
    </w:tblStylePr>
    <w:tblStylePr w:type="band1Horz">
      <w:tblPr/>
      <w:tcPr>
        <w:shd w:val="clear" w:color="auto" w:fill="CFDBF0" w:themeFill="accent1" w:themeFillTint="40"/>
      </w:tcPr>
    </w:tblStylePr>
  </w:style>
  <w:style w:type="table" w:customStyle="1" w:styleId="ListTable1Light-Accent2">
    <w:name w:val="List Table 1 Light - Accent 2"/>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5" w:themeFillTint="40"/>
      </w:tcPr>
    </w:tblStylePr>
    <w:tblStylePr w:type="band1Horz">
      <w:tblPr/>
      <w:tcPr>
        <w:shd w:val="clear" w:color="auto" w:fill="D5E5F4" w:themeFill="accent5" w:themeFillTint="40"/>
      </w:tcPr>
    </w:tblStylePr>
  </w:style>
  <w:style w:type="table" w:customStyle="1" w:styleId="ListTable1Light-Accent6">
    <w:name w:val="List Table 1 Light - Accent 6"/>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styleId="Listentabelle2">
    <w:name w:val="List Table 2"/>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2-Accent2">
    <w:name w:val="List Table 2 - Accent 2"/>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2-Accent6">
    <w:name w:val="List Table 2 - Accent 6"/>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Listentabelle3">
    <w:name w:val="List Table 3"/>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auto"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4-Accent2">
    <w:name w:val="List Table 4 - Accent 2"/>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auto"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4-Accent6">
    <w:name w:val="List Table 4 - Accent 6"/>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Listentabelle5dunkel">
    <w:name w:val="List Table 5 Dark"/>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auto"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auto"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auto"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472C4" w:themeFill="accent1"/>
      </w:tcPr>
    </w:tblStylePr>
    <w:tblStylePr w:type="band2Horz">
      <w:tblPr/>
      <w:tcPr>
        <w:tcBorders>
          <w:top w:val="single" w:sz="4" w:space="0" w:color="FFFFFF" w:themeColor="light1"/>
          <w:bottom w:val="single" w:sz="4" w:space="0" w:color="FFFFFF" w:themeColor="light1"/>
        </w:tcBorders>
        <w:shd w:val="clear" w:color="auto" w:fill="4472C4" w:themeFill="accent1"/>
      </w:tcPr>
    </w:tblStylePr>
  </w:style>
  <w:style w:type="table" w:customStyle="1" w:styleId="ListTable5Dark-Accent2">
    <w:name w:val="List Table 5 Dark - Accent 2"/>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auto"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auto"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auto"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BC2E5" w:themeFill="accent5" w:themeFillTint="9A"/>
      </w:tcPr>
    </w:tblStylePr>
    <w:tblStylePr w:type="band2Horz">
      <w:tblPr/>
      <w:tcPr>
        <w:tcBorders>
          <w:top w:val="single" w:sz="4" w:space="0" w:color="FFFFFF" w:themeColor="light1"/>
          <w:bottom w:val="single" w:sz="4" w:space="0" w:color="FFFFFF" w:themeColor="light1"/>
        </w:tcBorders>
        <w:shd w:val="clear" w:color="auto" w:fill="9BC2E5" w:themeFill="accent5" w:themeFillTint="9A"/>
      </w:tcPr>
    </w:tblStylePr>
  </w:style>
  <w:style w:type="table" w:customStyle="1" w:styleId="ListTable5Dark-Accent6">
    <w:name w:val="List Table 5 Dark - Accent 6"/>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styleId="Listentabelle6farbig">
    <w:name w:val="List Table 6 Colorful"/>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auto"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auto" w:fill="FFFFFF"/>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auto" w:fill="FFFFFF"/>
      </w:tc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auto"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auto" w:fill="FFFFFF"/>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auto" w:fill="FFFFFF"/>
      </w:tc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color w:val="404040"/>
      <w:sz w:val="20"/>
      <w:szCs w:val="20"/>
      <w:lang w:eastAsia="de-DE"/>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color w:val="404040"/>
      <w:sz w:val="20"/>
      <w:szCs w:val="20"/>
      <w:lang w:eastAsia="de-DE"/>
    </w:rPr>
    <w:tblPr>
      <w:tblStyleRowBandSize w:val="1"/>
      <w:tblStyleColBandSize w:val="1"/>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Lined-Accent2">
    <w:name w:val="Lined - Accent 2"/>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color w:val="404040"/>
      <w:sz w:val="20"/>
      <w:szCs w:val="20"/>
      <w:lang w:eastAsia="de-DE"/>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color w:val="404040"/>
      <w:sz w:val="20"/>
      <w:szCs w:val="20"/>
      <w:lang w:eastAsia="de-DE"/>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color w:val="404040"/>
      <w:sz w:val="20"/>
      <w:szCs w:val="20"/>
      <w:lang w:eastAsia="de-DE"/>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color w:val="404040"/>
      <w:sz w:val="20"/>
      <w:szCs w:val="20"/>
      <w:lang w:eastAsia="de-DE"/>
    </w:rPr>
    <w:tblPr>
      <w:tblStyleRowBandSize w:val="1"/>
      <w:tblStyleColBandSize w:val="1"/>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Lined-Accent6">
    <w:name w:val="Lined - Accent 6"/>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color w:val="404040"/>
      <w:sz w:val="20"/>
      <w:szCs w:val="20"/>
      <w:lang w:eastAsia="de-DE"/>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color w:val="404040"/>
      <w:sz w:val="20"/>
      <w:szCs w:val="20"/>
      <w:lang w:eastAsia="de-DE"/>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BorderedLined-Accent2">
    <w:name w:val="Bordered &amp; Lined - Accent 2"/>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color w:val="404040"/>
      <w:sz w:val="20"/>
      <w:szCs w:val="20"/>
      <w:lang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color w:val="404040"/>
      <w:sz w:val="20"/>
      <w:szCs w:val="20"/>
      <w:lang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color w:val="404040"/>
      <w:sz w:val="20"/>
      <w:szCs w:val="20"/>
      <w:lang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color w:val="404040"/>
      <w:sz w:val="20"/>
      <w:szCs w:val="20"/>
      <w:lang w:eastAsia="de-DE"/>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BorderedLined-Accent6">
    <w:name w:val="Bordered &amp; Lined - Accent 6"/>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color w:val="404040"/>
      <w:sz w:val="20"/>
      <w:szCs w:val="20"/>
      <w:lang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unotentext">
    <w:name w:val="footnote text"/>
    <w:basedOn w:val="Standard"/>
    <w:link w:val="FunotentextZchn"/>
    <w:uiPriority w:val="99"/>
    <w:unhideWhenUsed/>
    <w:rsid w:val="00232CB1"/>
    <w:pPr>
      <w:spacing w:after="40" w:line="240" w:lineRule="auto"/>
    </w:pPr>
  </w:style>
  <w:style w:type="character" w:customStyle="1" w:styleId="FunotentextZchn">
    <w:name w:val="Fußnotentext Zchn"/>
    <w:basedOn w:val="Absatz-Standardschriftart"/>
    <w:link w:val="Funotentext"/>
    <w:uiPriority w:val="99"/>
    <w:rsid w:val="00232CB1"/>
    <w:rPr>
      <w:rFonts w:ascii="Arial" w:eastAsia="PMingLiU" w:hAnsi="Arial" w:cs="Times New Roman"/>
      <w:sz w:val="18"/>
    </w:rPr>
  </w:style>
  <w:style w:type="character" w:styleId="Funotenzeichen">
    <w:name w:val="footnote reference"/>
    <w:basedOn w:val="Absatz-Standardschriftart"/>
    <w:uiPriority w:val="99"/>
    <w:unhideWhenUsed/>
    <w:rsid w:val="00232CB1"/>
    <w:rPr>
      <w:vertAlign w:val="superscript"/>
    </w:rPr>
  </w:style>
  <w:style w:type="paragraph" w:styleId="Endnotentext">
    <w:name w:val="endnote text"/>
    <w:basedOn w:val="Standard"/>
    <w:link w:val="EndnotentextZchn"/>
    <w:uiPriority w:val="99"/>
    <w:semiHidden/>
    <w:unhideWhenUsed/>
    <w:rsid w:val="00232CB1"/>
    <w:pPr>
      <w:spacing w:line="240" w:lineRule="auto"/>
    </w:pPr>
    <w:rPr>
      <w:sz w:val="20"/>
    </w:rPr>
  </w:style>
  <w:style w:type="character" w:customStyle="1" w:styleId="EndnotentextZchn">
    <w:name w:val="Endnotentext Zchn"/>
    <w:basedOn w:val="Absatz-Standardschriftart"/>
    <w:link w:val="Endnotentext"/>
    <w:uiPriority w:val="99"/>
    <w:semiHidden/>
    <w:rsid w:val="00232CB1"/>
    <w:rPr>
      <w:rFonts w:ascii="Arial" w:eastAsia="PMingLiU" w:hAnsi="Arial" w:cs="Times New Roman"/>
      <w:sz w:val="20"/>
    </w:rPr>
  </w:style>
  <w:style w:type="character" w:styleId="Endnotenzeichen">
    <w:name w:val="endnote reference"/>
    <w:basedOn w:val="Absatz-Standardschriftart"/>
    <w:uiPriority w:val="99"/>
    <w:semiHidden/>
    <w:unhideWhenUsed/>
    <w:rsid w:val="00232CB1"/>
    <w:rPr>
      <w:vertAlign w:val="superscript"/>
    </w:rPr>
  </w:style>
  <w:style w:type="paragraph" w:styleId="Verzeichnis1">
    <w:name w:val="toc 1"/>
    <w:basedOn w:val="Standard"/>
    <w:next w:val="Standard"/>
    <w:uiPriority w:val="39"/>
    <w:unhideWhenUsed/>
    <w:rsid w:val="00232CB1"/>
    <w:pPr>
      <w:spacing w:after="57"/>
    </w:pPr>
  </w:style>
  <w:style w:type="paragraph" w:styleId="Verzeichnis2">
    <w:name w:val="toc 2"/>
    <w:basedOn w:val="Standard"/>
    <w:next w:val="Standard"/>
    <w:uiPriority w:val="39"/>
    <w:unhideWhenUsed/>
    <w:rsid w:val="00232CB1"/>
    <w:pPr>
      <w:spacing w:after="57"/>
      <w:ind w:left="283"/>
    </w:pPr>
  </w:style>
  <w:style w:type="paragraph" w:styleId="Verzeichnis3">
    <w:name w:val="toc 3"/>
    <w:basedOn w:val="Standard"/>
    <w:next w:val="Standard"/>
    <w:uiPriority w:val="39"/>
    <w:unhideWhenUsed/>
    <w:rsid w:val="00232CB1"/>
    <w:pPr>
      <w:spacing w:after="57"/>
      <w:ind w:left="567"/>
    </w:pPr>
  </w:style>
  <w:style w:type="paragraph" w:styleId="Verzeichnis4">
    <w:name w:val="toc 4"/>
    <w:basedOn w:val="Standard"/>
    <w:next w:val="Standard"/>
    <w:uiPriority w:val="39"/>
    <w:unhideWhenUsed/>
    <w:rsid w:val="00232CB1"/>
    <w:pPr>
      <w:spacing w:after="57"/>
      <w:ind w:left="850"/>
    </w:pPr>
  </w:style>
  <w:style w:type="paragraph" w:styleId="Verzeichnis5">
    <w:name w:val="toc 5"/>
    <w:basedOn w:val="Standard"/>
    <w:next w:val="Standard"/>
    <w:uiPriority w:val="39"/>
    <w:unhideWhenUsed/>
    <w:rsid w:val="00232CB1"/>
    <w:pPr>
      <w:spacing w:after="57"/>
      <w:ind w:left="1134"/>
    </w:pPr>
  </w:style>
  <w:style w:type="paragraph" w:styleId="Verzeichnis6">
    <w:name w:val="toc 6"/>
    <w:basedOn w:val="Standard"/>
    <w:next w:val="Standard"/>
    <w:uiPriority w:val="39"/>
    <w:unhideWhenUsed/>
    <w:rsid w:val="00232CB1"/>
    <w:pPr>
      <w:spacing w:after="57"/>
      <w:ind w:left="1417"/>
    </w:pPr>
  </w:style>
  <w:style w:type="paragraph" w:styleId="Verzeichnis7">
    <w:name w:val="toc 7"/>
    <w:basedOn w:val="Standard"/>
    <w:next w:val="Standard"/>
    <w:uiPriority w:val="39"/>
    <w:unhideWhenUsed/>
    <w:rsid w:val="00232CB1"/>
    <w:pPr>
      <w:spacing w:after="57"/>
      <w:ind w:left="1701"/>
    </w:pPr>
  </w:style>
  <w:style w:type="paragraph" w:styleId="Verzeichnis8">
    <w:name w:val="toc 8"/>
    <w:basedOn w:val="Standard"/>
    <w:next w:val="Standard"/>
    <w:uiPriority w:val="39"/>
    <w:unhideWhenUsed/>
    <w:rsid w:val="00232CB1"/>
    <w:pPr>
      <w:spacing w:after="57"/>
      <w:ind w:left="1984"/>
    </w:pPr>
  </w:style>
  <w:style w:type="paragraph" w:styleId="Verzeichnis9">
    <w:name w:val="toc 9"/>
    <w:basedOn w:val="Standard"/>
    <w:next w:val="Standard"/>
    <w:uiPriority w:val="39"/>
    <w:unhideWhenUsed/>
    <w:rsid w:val="00232CB1"/>
    <w:pPr>
      <w:spacing w:after="57"/>
      <w:ind w:left="2268"/>
    </w:pPr>
  </w:style>
  <w:style w:type="paragraph" w:styleId="Inhaltsverzeichnisberschrift">
    <w:name w:val="TOC Heading"/>
    <w:uiPriority w:val="39"/>
    <w:unhideWhenUsed/>
    <w:qFormat/>
    <w:rsid w:val="00232CB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style>
  <w:style w:type="character" w:styleId="Kommentarzeichen">
    <w:name w:val="annotation reference"/>
    <w:basedOn w:val="Absatz-Standardschriftart"/>
    <w:semiHidden/>
    <w:unhideWhenUsed/>
    <w:rsid w:val="00232CB1"/>
    <w:rPr>
      <w:sz w:val="16"/>
      <w:szCs w:val="16"/>
    </w:rPr>
  </w:style>
  <w:style w:type="paragraph" w:styleId="Kommentartext">
    <w:name w:val="annotation text"/>
    <w:basedOn w:val="Standard"/>
    <w:link w:val="KommentartextZchn"/>
    <w:uiPriority w:val="99"/>
    <w:unhideWhenUsed/>
    <w:rsid w:val="00232CB1"/>
    <w:rPr>
      <w:sz w:val="20"/>
      <w:szCs w:val="20"/>
    </w:rPr>
  </w:style>
  <w:style w:type="character" w:customStyle="1" w:styleId="KommentartextZchn">
    <w:name w:val="Kommentartext Zchn"/>
    <w:basedOn w:val="Absatz-Standardschriftart"/>
    <w:link w:val="Kommentartext"/>
    <w:uiPriority w:val="99"/>
    <w:rsid w:val="00232CB1"/>
    <w:rPr>
      <w:rFonts w:ascii="Arial" w:eastAsia="PMingLiU" w:hAnsi="Arial" w:cs="Times New Roman"/>
      <w:sz w:val="20"/>
      <w:szCs w:val="20"/>
    </w:rPr>
  </w:style>
  <w:style w:type="paragraph" w:styleId="Kommentarthema">
    <w:name w:val="annotation subject"/>
    <w:basedOn w:val="Kommentartext"/>
    <w:next w:val="Kommentartext"/>
    <w:link w:val="KommentarthemaZchn"/>
    <w:uiPriority w:val="99"/>
    <w:semiHidden/>
    <w:unhideWhenUsed/>
    <w:rsid w:val="00232CB1"/>
    <w:rPr>
      <w:b/>
      <w:bCs/>
    </w:rPr>
  </w:style>
  <w:style w:type="character" w:customStyle="1" w:styleId="KommentarthemaZchn">
    <w:name w:val="Kommentarthema Zchn"/>
    <w:basedOn w:val="KommentartextZchn"/>
    <w:link w:val="Kommentarthema"/>
    <w:uiPriority w:val="99"/>
    <w:semiHidden/>
    <w:rsid w:val="00232CB1"/>
    <w:rPr>
      <w:rFonts w:ascii="Arial" w:eastAsia="PMingLiU" w:hAnsi="Arial" w:cs="Times New Roman"/>
      <w:b/>
      <w:bCs/>
      <w:sz w:val="20"/>
      <w:szCs w:val="20"/>
    </w:rPr>
  </w:style>
  <w:style w:type="paragraph" w:styleId="Sprechblasentext">
    <w:name w:val="Balloon Text"/>
    <w:basedOn w:val="Standard"/>
    <w:link w:val="SprechblasentextZchn"/>
    <w:uiPriority w:val="99"/>
    <w:semiHidden/>
    <w:unhideWhenUsed/>
    <w:rsid w:val="00232CB1"/>
    <w:rPr>
      <w:rFonts w:ascii="Segoe UI" w:hAnsi="Segoe UI" w:cs="Segoe UI"/>
      <w:szCs w:val="18"/>
    </w:rPr>
  </w:style>
  <w:style w:type="character" w:customStyle="1" w:styleId="SprechblasentextZchn">
    <w:name w:val="Sprechblasentext Zchn"/>
    <w:basedOn w:val="Absatz-Standardschriftart"/>
    <w:link w:val="Sprechblasentext"/>
    <w:uiPriority w:val="99"/>
    <w:semiHidden/>
    <w:rsid w:val="00232CB1"/>
    <w:rPr>
      <w:rFonts w:ascii="Segoe UI" w:eastAsia="PMingLiU" w:hAnsi="Segoe UI" w:cs="Segoe UI"/>
      <w:sz w:val="18"/>
      <w:szCs w:val="18"/>
    </w:rPr>
  </w:style>
  <w:style w:type="character" w:styleId="Hyperlink">
    <w:name w:val="Hyperlink"/>
    <w:basedOn w:val="Absatz-Standardschriftart"/>
    <w:uiPriority w:val="99"/>
    <w:unhideWhenUsed/>
    <w:rsid w:val="00232CB1"/>
    <w:rPr>
      <w:color w:val="0563C1" w:themeColor="hyperlink"/>
      <w:u w:val="single"/>
    </w:rPr>
  </w:style>
  <w:style w:type="character" w:customStyle="1" w:styleId="NichtaufgelsteErwhnung1">
    <w:name w:val="Nicht aufgelöste Erwähnung1"/>
    <w:basedOn w:val="Absatz-Standardschriftart"/>
    <w:uiPriority w:val="99"/>
    <w:semiHidden/>
    <w:unhideWhenUsed/>
    <w:rsid w:val="00232CB1"/>
    <w:rPr>
      <w:color w:val="605E5C"/>
      <w:shd w:val="clear" w:color="auto" w:fill="E1DFDD"/>
    </w:rPr>
  </w:style>
  <w:style w:type="paragraph" w:customStyle="1" w:styleId="FlietextKfW">
    <w:name w:val="Fließtext KfW"/>
    <w:link w:val="FlietextKfWZchn"/>
    <w:qFormat/>
    <w:rsid w:val="00232CB1"/>
    <w:pPr>
      <w:spacing w:before="60" w:after="120" w:line="240" w:lineRule="exact"/>
    </w:pPr>
    <w:rPr>
      <w:rFonts w:ascii="Arial" w:eastAsia="Calibri" w:hAnsi="Arial" w:cs="Calibri"/>
      <w:color w:val="4B5055"/>
      <w:sz w:val="18"/>
    </w:rPr>
  </w:style>
  <w:style w:type="character" w:customStyle="1" w:styleId="FlietextKfWZchn">
    <w:name w:val="Fließtext KfW Zchn"/>
    <w:basedOn w:val="Absatz-Standardschriftart"/>
    <w:link w:val="FlietextKfW"/>
    <w:rsid w:val="00232CB1"/>
    <w:rPr>
      <w:rFonts w:ascii="Arial" w:eastAsia="Calibri" w:hAnsi="Arial" w:cs="Calibri"/>
      <w:color w:val="4B5055"/>
      <w:sz w:val="18"/>
    </w:rPr>
  </w:style>
  <w:style w:type="paragraph" w:styleId="StandardWeb">
    <w:name w:val="Normal (Web)"/>
    <w:basedOn w:val="Standard"/>
    <w:uiPriority w:val="99"/>
    <w:semiHidden/>
    <w:unhideWhenUsed/>
    <w:rsid w:val="00232CB1"/>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Times New Roman"/>
      <w:sz w:val="24"/>
      <w:szCs w:val="24"/>
      <w:lang w:eastAsia="de-DE"/>
    </w:rPr>
  </w:style>
  <w:style w:type="paragraph" w:customStyle="1" w:styleId="Tabelleninhalt">
    <w:name w:val="Tabelleninhalt"/>
    <w:basedOn w:val="Standard"/>
    <w:rsid w:val="00232CB1"/>
    <w:pPr>
      <w:pBdr>
        <w:top w:val="none" w:sz="0" w:space="0" w:color="auto"/>
        <w:left w:val="none" w:sz="0" w:space="0" w:color="auto"/>
        <w:bottom w:val="none" w:sz="0" w:space="0" w:color="auto"/>
        <w:right w:val="none" w:sz="0" w:space="0" w:color="auto"/>
        <w:between w:val="none" w:sz="0" w:space="0" w:color="auto"/>
      </w:pBdr>
      <w:spacing w:before="0" w:line="240" w:lineRule="auto"/>
      <w:jc w:val="left"/>
    </w:pPr>
    <w:rPr>
      <w:rFonts w:ascii="BundesSerif Office" w:eastAsia="NSimSun" w:hAnsi="BundesSerif Office"/>
      <w:sz w:val="24"/>
      <w:szCs w:val="24"/>
      <w:lang w:eastAsia="zh-CN" w:bidi="hi-IN"/>
    </w:rPr>
  </w:style>
  <w:style w:type="paragraph" w:styleId="berarbeitung">
    <w:name w:val="Revision"/>
    <w:hidden/>
    <w:uiPriority w:val="99"/>
    <w:semiHidden/>
    <w:rsid w:val="00232CB1"/>
    <w:pPr>
      <w:spacing w:after="0" w:line="240" w:lineRule="auto"/>
    </w:pPr>
    <w:rPr>
      <w:rFonts w:ascii="Arial" w:eastAsia="PMingLiU" w:hAnsi="Arial" w:cs="Times New Roman"/>
      <w:sz w:val="18"/>
      <w:lang w:val="en-US"/>
    </w:rPr>
  </w:style>
  <w:style w:type="paragraph" w:styleId="NurText">
    <w:name w:val="Plain Text"/>
    <w:basedOn w:val="Standard"/>
    <w:link w:val="NurTextZchn"/>
    <w:uiPriority w:val="99"/>
    <w:unhideWhenUsed/>
    <w:rsid w:val="00ED032F"/>
    <w:pPr>
      <w:pBdr>
        <w:top w:val="none" w:sz="0" w:space="0" w:color="auto"/>
        <w:left w:val="none" w:sz="0" w:space="0" w:color="auto"/>
        <w:bottom w:val="none" w:sz="0" w:space="0" w:color="auto"/>
        <w:right w:val="none" w:sz="0" w:space="0" w:color="auto"/>
        <w:between w:val="none" w:sz="0" w:space="0" w:color="auto"/>
      </w:pBdr>
      <w:spacing w:before="0" w:line="240" w:lineRule="auto"/>
      <w:jc w:val="left"/>
    </w:pPr>
    <w:rPr>
      <w:rFonts w:ascii="Calibri" w:eastAsiaTheme="minorEastAsia" w:hAnsi="Calibri" w:cs="Calibri"/>
      <w:spacing w:val="0"/>
      <w:lang w:eastAsia="zh-CN"/>
    </w:rPr>
  </w:style>
  <w:style w:type="character" w:customStyle="1" w:styleId="NurTextZchn">
    <w:name w:val="Nur Text Zchn"/>
    <w:basedOn w:val="Absatz-Standardschriftart"/>
    <w:link w:val="NurText"/>
    <w:uiPriority w:val="99"/>
    <w:rsid w:val="00ED032F"/>
    <w:rPr>
      <w:rFonts w:ascii="Calibri" w:eastAsiaTheme="minorEastAsia" w:hAnsi="Calibri" w:cs="Calibri"/>
      <w:lang w:eastAsia="zh-CN"/>
    </w:rPr>
  </w:style>
  <w:style w:type="paragraph" w:styleId="Datum">
    <w:name w:val="Date"/>
    <w:basedOn w:val="Standard"/>
    <w:next w:val="Standard"/>
    <w:link w:val="DatumZchn"/>
    <w:uiPriority w:val="99"/>
    <w:semiHidden/>
    <w:unhideWhenUsed/>
    <w:rsid w:val="00DF26EB"/>
  </w:style>
  <w:style w:type="character" w:customStyle="1" w:styleId="DatumZchn">
    <w:name w:val="Datum Zchn"/>
    <w:basedOn w:val="Absatz-Standardschriftart"/>
    <w:link w:val="Datum"/>
    <w:uiPriority w:val="99"/>
    <w:semiHidden/>
    <w:rsid w:val="00DF26EB"/>
    <w:rPr>
      <w:rFonts w:ascii="Arial" w:eastAsia="Arial" w:hAnsi="Arial" w:cs="Arial"/>
      <w:spacing w:val="4"/>
    </w:rPr>
  </w:style>
  <w:style w:type="paragraph" w:customStyle="1" w:styleId="xmsonormal">
    <w:name w:val="x_msonormal"/>
    <w:basedOn w:val="Standard"/>
    <w:rsid w:val="00BB10A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left"/>
    </w:pPr>
    <w:rPr>
      <w:rFonts w:ascii="Calibri" w:eastAsiaTheme="minorEastAsia" w:hAnsi="Calibri" w:cs="Calibri"/>
      <w:spacing w:val="0"/>
      <w:lang w:eastAsia="zh-CN"/>
    </w:rPr>
  </w:style>
  <w:style w:type="character" w:customStyle="1" w:styleId="apple-converted-space">
    <w:name w:val="apple-converted-space"/>
    <w:basedOn w:val="Absatz-Standardschriftart"/>
    <w:rsid w:val="00BB10A3"/>
  </w:style>
  <w:style w:type="character" w:styleId="NichtaufgelsteErwhnung">
    <w:name w:val="Unresolved Mention"/>
    <w:basedOn w:val="Absatz-Standardschriftart"/>
    <w:uiPriority w:val="99"/>
    <w:semiHidden/>
    <w:unhideWhenUsed/>
    <w:rsid w:val="00502597"/>
    <w:rPr>
      <w:color w:val="605E5C"/>
      <w:shd w:val="clear" w:color="auto" w:fill="E1DFDD"/>
    </w:rPr>
  </w:style>
  <w:style w:type="table" w:customStyle="1" w:styleId="TabellemithellemGitternetz1">
    <w:name w:val="Tabelle mit hellem Gitternetz1"/>
    <w:basedOn w:val="NormaleTabelle"/>
    <w:uiPriority w:val="5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itternetztabelle1hellAkzent11">
    <w:name w:val="Gitternetztabelle 1 hell  – Akzent 11"/>
    <w:basedOn w:val="NormaleTabelle"/>
    <w:uiPriority w:val="9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itternetztabelle1hell-Akzent21">
    <w:name w:val="Gitternetztabelle 1 hell - Akzent 21"/>
    <w:basedOn w:val="NormaleTabelle"/>
    <w:uiPriority w:val="9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itternetztabelle1hellAkzent31">
    <w:name w:val="Gitternetztabelle 1 hell  – Akzent 31"/>
    <w:basedOn w:val="NormaleTabelle"/>
    <w:uiPriority w:val="9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itternetztabelle1hellAkzent41">
    <w:name w:val="Gitternetztabelle 1 hell  – Akzent 41"/>
    <w:basedOn w:val="NormaleTabelle"/>
    <w:uiPriority w:val="9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itternetztabelle1hellAkzent51">
    <w:name w:val="Gitternetztabelle 1 hell  – Akzent 51"/>
    <w:basedOn w:val="NormaleTabelle"/>
    <w:uiPriority w:val="9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itternetztabelle1hellAkzent61">
    <w:name w:val="Gitternetztabelle 1 hell  – Akzent 61"/>
    <w:basedOn w:val="NormaleTabelle"/>
    <w:uiPriority w:val="9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itternetztabelle2Akzent11">
    <w:name w:val="Gitternetztabelle 2 – Akzent 11"/>
    <w:basedOn w:val="NormaleTabelle"/>
    <w:uiPriority w:val="9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auto" w:fill="FFFFFF"/>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itternetztabelle2Akzent21">
    <w:name w:val="Gitternetztabelle 2 – Akzent 21"/>
    <w:basedOn w:val="NormaleTabelle"/>
    <w:uiPriority w:val="9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itternetztabelle2Akzent31">
    <w:name w:val="Gitternetztabelle 2 – Akzent 31"/>
    <w:basedOn w:val="NormaleTabelle"/>
    <w:uiPriority w:val="9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itternetztabelle2Akzent41">
    <w:name w:val="Gitternetztabelle 2 – Akzent 41"/>
    <w:basedOn w:val="NormaleTabelle"/>
    <w:uiPriority w:val="9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itternetztabelle2Akzent51">
    <w:name w:val="Gitternetztabelle 2 – Akzent 51"/>
    <w:basedOn w:val="NormaleTabelle"/>
    <w:uiPriority w:val="9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auto" w:fill="FFFFFF"/>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itternetztabelle2Akzent61">
    <w:name w:val="Gitternetztabelle 2 – Akzent 61"/>
    <w:basedOn w:val="NormaleTabelle"/>
    <w:uiPriority w:val="9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itternetztabelle3Akzent11">
    <w:name w:val="Gitternetztabelle 3 – Akzent 11"/>
    <w:basedOn w:val="NormaleTabelle"/>
    <w:uiPriority w:val="9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itternetztabelle3Akzent21">
    <w:name w:val="Gitternetztabelle 3 – Akzent 21"/>
    <w:basedOn w:val="NormaleTabelle"/>
    <w:uiPriority w:val="9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itternetztabelle3Akzent31">
    <w:name w:val="Gitternetztabelle 3 – Akzent 31"/>
    <w:basedOn w:val="NormaleTabelle"/>
    <w:uiPriority w:val="9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itternetztabelle3Akzent41">
    <w:name w:val="Gitternetztabelle 3 – Akzent 41"/>
    <w:basedOn w:val="NormaleTabelle"/>
    <w:uiPriority w:val="9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itternetztabelle3Akzent51">
    <w:name w:val="Gitternetztabelle 3 – Akzent 51"/>
    <w:basedOn w:val="NormaleTabelle"/>
    <w:uiPriority w:val="9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itternetztabelle3Akzent61">
    <w:name w:val="Gitternetztabelle 3 – Akzent 61"/>
    <w:basedOn w:val="NormaleTabelle"/>
    <w:uiPriority w:val="9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itternetztabelle4Akzent11">
    <w:name w:val="Gitternetztabelle 4 – Akzent 11"/>
    <w:basedOn w:val="NormaleTabelle"/>
    <w:uiPriority w:val="5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auto"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3F3" w:themeFill="accent1" w:themeFillTint="32"/>
      </w:tcPr>
    </w:tblStylePr>
    <w:tblStylePr w:type="band1Horz">
      <w:rPr>
        <w:rFonts w:ascii="Arial" w:hAnsi="Arial"/>
        <w:color w:val="404040"/>
        <w:sz w:val="22"/>
      </w:rPr>
      <w:tblPr/>
      <w:tcPr>
        <w:shd w:val="clear" w:color="auto" w:fill="DAE3F3" w:themeFill="accent1" w:themeFillTint="32"/>
      </w:tcPr>
    </w:tblStylePr>
  </w:style>
  <w:style w:type="table" w:customStyle="1" w:styleId="Gitternetztabelle4Akzent21">
    <w:name w:val="Gitternetztabelle 4 – Akzent 21"/>
    <w:basedOn w:val="NormaleTabelle"/>
    <w:uiPriority w:val="5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itternetztabelle4Akzent31">
    <w:name w:val="Gitternetztabelle 4 – Akzent 31"/>
    <w:basedOn w:val="NormaleTabelle"/>
    <w:uiPriority w:val="5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itternetztabelle4Akzent41">
    <w:name w:val="Gitternetztabelle 4 – Akzent 41"/>
    <w:basedOn w:val="NormaleTabelle"/>
    <w:uiPriority w:val="5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itternetztabelle4Akzent51">
    <w:name w:val="Gitternetztabelle 4 – Akzent 51"/>
    <w:basedOn w:val="NormaleTabelle"/>
    <w:uiPriority w:val="5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itternetztabelle4Akzent61">
    <w:name w:val="Gitternetztabelle 4 – Akzent 61"/>
    <w:basedOn w:val="NormaleTabelle"/>
    <w:uiPriority w:val="5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itternetztabelle5dunkelAkzent11">
    <w:name w:val="Gitternetztabelle 5 dunkel  – Akzent 11"/>
    <w:basedOn w:val="NormaleTabelle"/>
    <w:uiPriority w:val="9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1" w:themeFillTint="34"/>
    </w:tblPr>
    <w:tblStylePr w:type="firstRow">
      <w:rPr>
        <w:rFonts w:ascii="Arial" w:hAnsi="Arial"/>
        <w:b/>
        <w:color w:val="FFFFFF"/>
        <w:sz w:val="22"/>
      </w:rPr>
      <w:tblPr/>
      <w:tcPr>
        <w:shd w:val="clear" w:color="auto" w:fill="4472C4" w:themeFill="accent1"/>
      </w:tcPr>
    </w:tblStylePr>
    <w:tblStylePr w:type="lastRow">
      <w:rPr>
        <w:rFonts w:ascii="Arial" w:hAnsi="Arial"/>
        <w:b/>
        <w:color w:val="FFFFFF"/>
        <w:sz w:val="22"/>
      </w:rPr>
      <w:tblPr/>
      <w:tcPr>
        <w:tcBorders>
          <w:top w:val="single" w:sz="4" w:space="0" w:color="FFFFFF" w:themeColor="light1"/>
        </w:tcBorders>
        <w:shd w:val="clear" w:color="auto" w:fill="4472C4" w:themeFill="accent1"/>
      </w:tcPr>
    </w:tblStylePr>
    <w:tblStylePr w:type="firstCol">
      <w:rPr>
        <w:rFonts w:ascii="Arial" w:hAnsi="Arial"/>
        <w:b/>
        <w:color w:val="FFFFFF"/>
        <w:sz w:val="22"/>
      </w:rPr>
      <w:tblPr/>
      <w:tcPr>
        <w:shd w:val="clear" w:color="auto" w:fill="4472C4" w:themeFill="accent1"/>
      </w:tcPr>
    </w:tblStylePr>
    <w:tblStylePr w:type="lastCol">
      <w:rPr>
        <w:rFonts w:ascii="Arial" w:hAnsi="Arial"/>
        <w:b/>
        <w:color w:val="FFFFFF"/>
        <w:sz w:val="22"/>
      </w:rPr>
      <w:tblPr/>
      <w:tcPr>
        <w:shd w:val="clear" w:color="auto" w:fill="4472C4" w:themeFill="accent1"/>
      </w:tcPr>
    </w:tblStylePr>
    <w:tblStylePr w:type="band1Vert">
      <w:tblPr/>
      <w:tcPr>
        <w:shd w:val="clear" w:color="auto" w:fill="A9BEE4" w:themeFill="accent1" w:themeFillTint="75"/>
      </w:tcPr>
    </w:tblStylePr>
    <w:tblStylePr w:type="band1Horz">
      <w:tblPr/>
      <w:tcPr>
        <w:shd w:val="clear" w:color="auto" w:fill="A9BEE4" w:themeFill="accent1" w:themeFillTint="75"/>
      </w:tcPr>
    </w:tblStylePr>
  </w:style>
  <w:style w:type="table" w:customStyle="1" w:styleId="Gitternetztabelle5dunkelAkzent21">
    <w:name w:val="Gitternetztabelle 5 dunkel  – Akzent 21"/>
    <w:basedOn w:val="NormaleTabelle"/>
    <w:uiPriority w:val="9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itternetztabelle5dunkelAkzent31">
    <w:name w:val="Gitternetztabelle 5 dunkel  – Akzent 31"/>
    <w:basedOn w:val="NormaleTabelle"/>
    <w:uiPriority w:val="9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itternetztabelle5dunkelAkzent41">
    <w:name w:val="Gitternetztabelle 5 dunkel  – Akzent 41"/>
    <w:basedOn w:val="NormaleTabelle"/>
    <w:uiPriority w:val="9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itternetztabelle5dunkelAkzent51">
    <w:name w:val="Gitternetztabelle 5 dunkel  – Akzent 51"/>
    <w:basedOn w:val="NormaleTabelle"/>
    <w:uiPriority w:val="9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5" w:themeFillTint="34"/>
    </w:tblPr>
    <w:tblStylePr w:type="firstRow">
      <w:rPr>
        <w:rFonts w:ascii="Arial" w:hAnsi="Arial"/>
        <w:b/>
        <w:color w:val="FFFFFF"/>
        <w:sz w:val="22"/>
      </w:rPr>
      <w:tblPr/>
      <w:tcPr>
        <w:shd w:val="clear" w:color="auto" w:fill="5B9BD5" w:themeFill="accent5"/>
      </w:tcPr>
    </w:tblStylePr>
    <w:tblStylePr w:type="lastRow">
      <w:rPr>
        <w:rFonts w:ascii="Arial" w:hAnsi="Arial"/>
        <w:b/>
        <w:color w:val="FFFFFF"/>
        <w:sz w:val="22"/>
      </w:rPr>
      <w:tblPr/>
      <w:tcPr>
        <w:tcBorders>
          <w:top w:val="single" w:sz="4" w:space="0" w:color="FFFFFF" w:themeColor="light1"/>
        </w:tcBorders>
        <w:shd w:val="clear" w:color="auto" w:fill="5B9BD5" w:themeFill="accent5"/>
      </w:tcPr>
    </w:tblStylePr>
    <w:tblStylePr w:type="firstCol">
      <w:rPr>
        <w:rFonts w:ascii="Arial" w:hAnsi="Arial"/>
        <w:b/>
        <w:color w:val="FFFFFF"/>
        <w:sz w:val="22"/>
      </w:rPr>
      <w:tblPr/>
      <w:tcPr>
        <w:shd w:val="clear" w:color="auto" w:fill="5B9BD5" w:themeFill="accent5"/>
      </w:tcPr>
    </w:tblStylePr>
    <w:tblStylePr w:type="lastCol">
      <w:rPr>
        <w:rFonts w:ascii="Arial" w:hAnsi="Arial"/>
        <w:b/>
        <w:color w:val="FFFFFF"/>
        <w:sz w:val="22"/>
      </w:rPr>
      <w:tblPr/>
      <w:tcPr>
        <w:shd w:val="clear" w:color="auto" w:fill="5B9BD5" w:themeFill="accent5"/>
      </w:tcPr>
    </w:tblStylePr>
    <w:tblStylePr w:type="band1Vert">
      <w:tblPr/>
      <w:tcPr>
        <w:shd w:val="clear" w:color="auto" w:fill="B3D0EB" w:themeFill="accent5" w:themeFillTint="75"/>
      </w:tcPr>
    </w:tblStylePr>
    <w:tblStylePr w:type="band1Horz">
      <w:tblPr/>
      <w:tcPr>
        <w:shd w:val="clear" w:color="auto" w:fill="B3D0EB" w:themeFill="accent5" w:themeFillTint="75"/>
      </w:tcPr>
    </w:tblStylePr>
  </w:style>
  <w:style w:type="table" w:customStyle="1" w:styleId="Gitternetztabelle5dunkelAkzent61">
    <w:name w:val="Gitternetztabelle 5 dunkel  – Akzent 61"/>
    <w:basedOn w:val="NormaleTabelle"/>
    <w:uiPriority w:val="9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itternetztabelle6farbigAkzent11">
    <w:name w:val="Gitternetztabelle 6 farbig – Akzent 11"/>
    <w:basedOn w:val="NormaleTabelle"/>
    <w:uiPriority w:val="9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itternetztabelle6farbigAkzent21">
    <w:name w:val="Gitternetztabelle 6 farbig – Akzent 21"/>
    <w:basedOn w:val="NormaleTabelle"/>
    <w:uiPriority w:val="9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itternetztabelle6farbigAkzent31">
    <w:name w:val="Gitternetztabelle 6 farbig – Akzent 31"/>
    <w:basedOn w:val="NormaleTabelle"/>
    <w:uiPriority w:val="9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itternetztabelle6farbigAkzent41">
    <w:name w:val="Gitternetztabelle 6 farbig – Akzent 41"/>
    <w:basedOn w:val="NormaleTabelle"/>
    <w:uiPriority w:val="9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itternetztabelle6farbigAkzent51">
    <w:name w:val="Gitternetztabelle 6 farbig – Akzent 51"/>
    <w:basedOn w:val="NormaleTabelle"/>
    <w:uiPriority w:val="9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itternetztabelle6farbigAkzent61">
    <w:name w:val="Gitternetztabelle 6 farbig – Akzent 61"/>
    <w:basedOn w:val="NormaleTabelle"/>
    <w:uiPriority w:val="9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E1EFD8" w:themeFill="accent6" w:themeFillTint="34"/>
      </w:tcPr>
    </w:tblStylePr>
    <w:tblStylePr w:type="band1Horz">
      <w:rPr>
        <w:rFonts w:ascii="Arial" w:hAnsi="Arial"/>
        <w:color w:val="245A8D" w:themeColor="accent5" w:themeShade="95"/>
        <w:sz w:val="22"/>
      </w:rPr>
      <w:tblPr/>
      <w:tcPr>
        <w:shd w:val="clear" w:color="auto" w:fill="E1EFD8" w:themeFill="accent6" w:themeFillTint="34"/>
      </w:tcPr>
    </w:tblStylePr>
    <w:tblStylePr w:type="band2Horz">
      <w:rPr>
        <w:rFonts w:ascii="Arial" w:hAnsi="Arial"/>
        <w:color w:val="245A8D" w:themeColor="accent5" w:themeShade="95"/>
        <w:sz w:val="22"/>
      </w:rPr>
    </w:tblStylePr>
  </w:style>
  <w:style w:type="table" w:customStyle="1" w:styleId="Gitternetztabelle7farbigAkzent11">
    <w:name w:val="Gitternetztabelle 7 farbig – Akzent 11"/>
    <w:basedOn w:val="NormaleTabelle"/>
    <w:uiPriority w:val="9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auto"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auto" w:fill="FFFFFF"/>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auto" w:fill="FFFFFF"/>
      </w:tc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itternetztabelle7farbigAkzent21">
    <w:name w:val="Gitternetztabelle 7 farbig – Akzent 21"/>
    <w:basedOn w:val="NormaleTabelle"/>
    <w:uiPriority w:val="9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itternetztabelle7farbigAkzent31">
    <w:name w:val="Gitternetztabelle 7 farbig – Akzent 31"/>
    <w:basedOn w:val="NormaleTabelle"/>
    <w:uiPriority w:val="9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itternetztabelle7farbigAkzent41">
    <w:name w:val="Gitternetztabelle 7 farbig – Akzent 41"/>
    <w:basedOn w:val="NormaleTabelle"/>
    <w:uiPriority w:val="9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itternetztabelle7farbigAkzent51">
    <w:name w:val="Gitternetztabelle 7 farbig – Akzent 51"/>
    <w:basedOn w:val="NormaleTabelle"/>
    <w:uiPriority w:val="9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auto"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auto" w:fill="FFFFFF"/>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auto" w:fill="FFFFFF"/>
      </w:tc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itternetztabelle7farbigAkzent61">
    <w:name w:val="Gitternetztabelle 7 farbig – Akzent 61"/>
    <w:basedOn w:val="NormaleTabelle"/>
    <w:uiPriority w:val="9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entabelle1hellAkzent11">
    <w:name w:val="Listentabelle 1 hell  – Akzent 11"/>
    <w:basedOn w:val="NormaleTabelle"/>
    <w:uiPriority w:val="9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1" w:themeFillTint="40"/>
      </w:tcPr>
    </w:tblStylePr>
    <w:tblStylePr w:type="band1Horz">
      <w:tblPr/>
      <w:tcPr>
        <w:shd w:val="clear" w:color="auto" w:fill="CFDBF0" w:themeFill="accent1" w:themeFillTint="40"/>
      </w:tcPr>
    </w:tblStylePr>
  </w:style>
  <w:style w:type="table" w:customStyle="1" w:styleId="Listentabelle1hellAkzent21">
    <w:name w:val="Listentabelle 1 hell  – Akzent 21"/>
    <w:basedOn w:val="NormaleTabelle"/>
    <w:uiPriority w:val="9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entabelle1hellAkzent31">
    <w:name w:val="Listentabelle 1 hell  – Akzent 31"/>
    <w:basedOn w:val="NormaleTabelle"/>
    <w:uiPriority w:val="9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entabelle1hellAkzent41">
    <w:name w:val="Listentabelle 1 hell  – Akzent 41"/>
    <w:basedOn w:val="NormaleTabelle"/>
    <w:uiPriority w:val="9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entabelle1hellAkzent51">
    <w:name w:val="Listentabelle 1 hell  – Akzent 51"/>
    <w:basedOn w:val="NormaleTabelle"/>
    <w:uiPriority w:val="9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5" w:themeFillTint="40"/>
      </w:tcPr>
    </w:tblStylePr>
    <w:tblStylePr w:type="band1Horz">
      <w:tblPr/>
      <w:tcPr>
        <w:shd w:val="clear" w:color="auto" w:fill="D5E5F4" w:themeFill="accent5" w:themeFillTint="40"/>
      </w:tcPr>
    </w:tblStylePr>
  </w:style>
  <w:style w:type="table" w:customStyle="1" w:styleId="Listentabelle1hellAkzent61">
    <w:name w:val="Listentabelle 1 hell  – Akzent 61"/>
    <w:basedOn w:val="NormaleTabelle"/>
    <w:uiPriority w:val="9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entabelle2Akzent11">
    <w:name w:val="Listentabelle 2 – Akzent 11"/>
    <w:basedOn w:val="NormaleTabelle"/>
    <w:uiPriority w:val="9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entabelle2Akzent21">
    <w:name w:val="Listentabelle 2 – Akzent 21"/>
    <w:basedOn w:val="NormaleTabelle"/>
    <w:uiPriority w:val="9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entabelle2Akzent31">
    <w:name w:val="Listentabelle 2 – Akzent 31"/>
    <w:basedOn w:val="NormaleTabelle"/>
    <w:uiPriority w:val="9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entabelle2Akzent41">
    <w:name w:val="Listentabelle 2 – Akzent 41"/>
    <w:basedOn w:val="NormaleTabelle"/>
    <w:uiPriority w:val="9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entabelle2Akzent51">
    <w:name w:val="Listentabelle 2 – Akzent 51"/>
    <w:basedOn w:val="NormaleTabelle"/>
    <w:uiPriority w:val="9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entabelle2Akzent61">
    <w:name w:val="Listentabelle 2 – Akzent 61"/>
    <w:basedOn w:val="NormaleTabelle"/>
    <w:uiPriority w:val="9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entabelle3Akzent11">
    <w:name w:val="Listentabelle 3 – Akzent 11"/>
    <w:basedOn w:val="NormaleTabelle"/>
    <w:uiPriority w:val="9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entabelle3Akzent21">
    <w:name w:val="Listentabelle 3 – Akzent 21"/>
    <w:basedOn w:val="NormaleTabelle"/>
    <w:uiPriority w:val="9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entabelle3Akzent31">
    <w:name w:val="Listentabelle 3 – Akzent 31"/>
    <w:basedOn w:val="NormaleTabelle"/>
    <w:uiPriority w:val="9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entabelle3Akzent41">
    <w:name w:val="Listentabelle 3 – Akzent 41"/>
    <w:basedOn w:val="NormaleTabelle"/>
    <w:uiPriority w:val="9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entabelle3Akzent51">
    <w:name w:val="Listentabelle 3 – Akzent 51"/>
    <w:basedOn w:val="NormaleTabelle"/>
    <w:uiPriority w:val="9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auto"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entabelle3Akzent61">
    <w:name w:val="Listentabelle 3 – Akzent 61"/>
    <w:basedOn w:val="NormaleTabelle"/>
    <w:uiPriority w:val="9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entabelle4Akzent11">
    <w:name w:val="Listentabelle 4 – Akzent 11"/>
    <w:basedOn w:val="NormaleTabelle"/>
    <w:uiPriority w:val="9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entabelle4Akzent21">
    <w:name w:val="Listentabelle 4 – Akzent 21"/>
    <w:basedOn w:val="NormaleTabelle"/>
    <w:uiPriority w:val="9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entabelle4Akzent31">
    <w:name w:val="Listentabelle 4 – Akzent 31"/>
    <w:basedOn w:val="NormaleTabelle"/>
    <w:uiPriority w:val="9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entabelle4Akzent41">
    <w:name w:val="Listentabelle 4 – Akzent 41"/>
    <w:basedOn w:val="NormaleTabelle"/>
    <w:uiPriority w:val="9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entabelle4Akzent51">
    <w:name w:val="Listentabelle 4 – Akzent 51"/>
    <w:basedOn w:val="NormaleTabelle"/>
    <w:uiPriority w:val="9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auto"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entabelle4Akzent61">
    <w:name w:val="Listentabelle 4 – Akzent 61"/>
    <w:basedOn w:val="NormaleTabelle"/>
    <w:uiPriority w:val="9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entabelle5dunkelAkzent11">
    <w:name w:val="Listentabelle 5 dunkel  – Akzent 11"/>
    <w:basedOn w:val="NormaleTabelle"/>
    <w:uiPriority w:val="9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auto"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auto"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auto"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472C4" w:themeFill="accent1"/>
      </w:tcPr>
    </w:tblStylePr>
    <w:tblStylePr w:type="band2Horz">
      <w:tblPr/>
      <w:tcPr>
        <w:tcBorders>
          <w:top w:val="single" w:sz="4" w:space="0" w:color="FFFFFF" w:themeColor="light1"/>
          <w:bottom w:val="single" w:sz="4" w:space="0" w:color="FFFFFF" w:themeColor="light1"/>
        </w:tcBorders>
        <w:shd w:val="clear" w:color="auto" w:fill="4472C4" w:themeFill="accent1"/>
      </w:tcPr>
    </w:tblStylePr>
  </w:style>
  <w:style w:type="table" w:customStyle="1" w:styleId="Listentabelle5dunkelAkzent21">
    <w:name w:val="Listentabelle 5 dunkel  – Akzent 21"/>
    <w:basedOn w:val="NormaleTabelle"/>
    <w:uiPriority w:val="9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entabelle5dunkelAkzent31">
    <w:name w:val="Listentabelle 5 dunkel  – Akzent 31"/>
    <w:basedOn w:val="NormaleTabelle"/>
    <w:uiPriority w:val="9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entabelle5dunkelAkzent41">
    <w:name w:val="Listentabelle 5 dunkel  – Akzent 41"/>
    <w:basedOn w:val="NormaleTabelle"/>
    <w:uiPriority w:val="9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entabelle5dunkelAkzent51">
    <w:name w:val="Listentabelle 5 dunkel  – Akzent 51"/>
    <w:basedOn w:val="NormaleTabelle"/>
    <w:uiPriority w:val="9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auto"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auto"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auto"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BC2E5" w:themeFill="accent5" w:themeFillTint="9A"/>
      </w:tcPr>
    </w:tblStylePr>
    <w:tblStylePr w:type="band2Horz">
      <w:tblPr/>
      <w:tcPr>
        <w:tcBorders>
          <w:top w:val="single" w:sz="4" w:space="0" w:color="FFFFFF" w:themeColor="light1"/>
          <w:bottom w:val="single" w:sz="4" w:space="0" w:color="FFFFFF" w:themeColor="light1"/>
        </w:tcBorders>
        <w:shd w:val="clear" w:color="auto" w:fill="9BC2E5" w:themeFill="accent5" w:themeFillTint="9A"/>
      </w:tcPr>
    </w:tblStylePr>
  </w:style>
  <w:style w:type="table" w:customStyle="1" w:styleId="Listentabelle5dunkelAkzent61">
    <w:name w:val="Listentabelle 5 dunkel  – Akzent 61"/>
    <w:basedOn w:val="NormaleTabelle"/>
    <w:uiPriority w:val="9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entabelle6farbigAkzent11">
    <w:name w:val="Listentabelle 6 farbig – Akzent 11"/>
    <w:basedOn w:val="NormaleTabelle"/>
    <w:uiPriority w:val="9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entabelle6farbigAkzent21">
    <w:name w:val="Listentabelle 6 farbig – Akzent 21"/>
    <w:basedOn w:val="NormaleTabelle"/>
    <w:uiPriority w:val="9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entabelle6farbigAkzent31">
    <w:name w:val="Listentabelle 6 farbig – Akzent 31"/>
    <w:basedOn w:val="NormaleTabelle"/>
    <w:uiPriority w:val="9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entabelle6farbigAkzent41">
    <w:name w:val="Listentabelle 6 farbig – Akzent 41"/>
    <w:basedOn w:val="NormaleTabelle"/>
    <w:uiPriority w:val="9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entabelle6farbigAkzent51">
    <w:name w:val="Listentabelle 6 farbig – Akzent 51"/>
    <w:basedOn w:val="NormaleTabelle"/>
    <w:uiPriority w:val="9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entabelle6farbigAkzent61">
    <w:name w:val="Listentabelle 6 farbig – Akzent 61"/>
    <w:basedOn w:val="NormaleTabelle"/>
    <w:uiPriority w:val="9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entabelle7farbigAkzent11">
    <w:name w:val="Listentabelle 7 farbig – Akzent 11"/>
    <w:basedOn w:val="NormaleTabelle"/>
    <w:uiPriority w:val="9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auto"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auto" w:fill="FFFFFF"/>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auto" w:fill="FFFFFF"/>
      </w:tc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entabelle7farbigAkzent21">
    <w:name w:val="Listentabelle 7 farbig – Akzent 21"/>
    <w:basedOn w:val="NormaleTabelle"/>
    <w:uiPriority w:val="9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entabelle7farbigAkzent31">
    <w:name w:val="Listentabelle 7 farbig – Akzent 31"/>
    <w:basedOn w:val="NormaleTabelle"/>
    <w:uiPriority w:val="9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entabelle7farbigAkzent41">
    <w:name w:val="Listentabelle 7 farbig – Akzent 41"/>
    <w:basedOn w:val="NormaleTabelle"/>
    <w:uiPriority w:val="9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entabelle7farbigAkzent51">
    <w:name w:val="Listentabelle 7 farbig – Akzent 51"/>
    <w:basedOn w:val="NormaleTabelle"/>
    <w:uiPriority w:val="9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auto"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auto" w:fill="FFFFFF"/>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auto" w:fill="FFFFFF"/>
      </w:tc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entabelle7farbigAkzent61">
    <w:name w:val="Listentabelle 7 farbig – Akzent 61"/>
    <w:basedOn w:val="NormaleTabelle"/>
    <w:uiPriority w:val="99"/>
    <w:rsid w:val="007159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PMingLiU" w:hAnsi="Times New Roman" w:cs="Times New Roman"/>
      <w:lang w:val="en-US"/>
    </w:r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paragraph" w:customStyle="1" w:styleId="Default">
    <w:name w:val="Default"/>
    <w:rsid w:val="007159C3"/>
    <w:pPr>
      <w:autoSpaceDE w:val="0"/>
      <w:autoSpaceDN w:val="0"/>
      <w:adjustRightInd w:val="0"/>
      <w:spacing w:after="0" w:line="240" w:lineRule="auto"/>
    </w:pPr>
    <w:rPr>
      <w:rFonts w:ascii="Times New Roman PSMT" w:hAnsi="Times New Roman PSMT" w:cs="Times New Roman PSMT"/>
      <w:color w:val="000000"/>
      <w:sz w:val="24"/>
      <w:szCs w:val="24"/>
    </w:rPr>
  </w:style>
  <w:style w:type="character" w:styleId="BesuchterLink">
    <w:name w:val="FollowedHyperlink"/>
    <w:basedOn w:val="Absatz-Standardschriftart"/>
    <w:uiPriority w:val="99"/>
    <w:semiHidden/>
    <w:unhideWhenUsed/>
    <w:rsid w:val="007159C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503325">
      <w:bodyDiv w:val="1"/>
      <w:marLeft w:val="0"/>
      <w:marRight w:val="0"/>
      <w:marTop w:val="0"/>
      <w:marBottom w:val="0"/>
      <w:divBdr>
        <w:top w:val="none" w:sz="0" w:space="0" w:color="auto"/>
        <w:left w:val="none" w:sz="0" w:space="0" w:color="auto"/>
        <w:bottom w:val="none" w:sz="0" w:space="0" w:color="auto"/>
        <w:right w:val="none" w:sz="0" w:space="0" w:color="auto"/>
      </w:divBdr>
    </w:div>
    <w:div w:id="111437430">
      <w:bodyDiv w:val="1"/>
      <w:marLeft w:val="0"/>
      <w:marRight w:val="0"/>
      <w:marTop w:val="0"/>
      <w:marBottom w:val="0"/>
      <w:divBdr>
        <w:top w:val="none" w:sz="0" w:space="0" w:color="auto"/>
        <w:left w:val="none" w:sz="0" w:space="0" w:color="auto"/>
        <w:bottom w:val="none" w:sz="0" w:space="0" w:color="auto"/>
        <w:right w:val="none" w:sz="0" w:space="0" w:color="auto"/>
      </w:divBdr>
    </w:div>
    <w:div w:id="189878583">
      <w:bodyDiv w:val="1"/>
      <w:marLeft w:val="0"/>
      <w:marRight w:val="0"/>
      <w:marTop w:val="0"/>
      <w:marBottom w:val="0"/>
      <w:divBdr>
        <w:top w:val="none" w:sz="0" w:space="0" w:color="auto"/>
        <w:left w:val="none" w:sz="0" w:space="0" w:color="auto"/>
        <w:bottom w:val="none" w:sz="0" w:space="0" w:color="auto"/>
        <w:right w:val="none" w:sz="0" w:space="0" w:color="auto"/>
      </w:divBdr>
    </w:div>
    <w:div w:id="228813111">
      <w:bodyDiv w:val="1"/>
      <w:marLeft w:val="0"/>
      <w:marRight w:val="0"/>
      <w:marTop w:val="0"/>
      <w:marBottom w:val="0"/>
      <w:divBdr>
        <w:top w:val="none" w:sz="0" w:space="0" w:color="auto"/>
        <w:left w:val="none" w:sz="0" w:space="0" w:color="auto"/>
        <w:bottom w:val="none" w:sz="0" w:space="0" w:color="auto"/>
        <w:right w:val="none" w:sz="0" w:space="0" w:color="auto"/>
      </w:divBdr>
      <w:divsChild>
        <w:div w:id="1752851340">
          <w:marLeft w:val="0"/>
          <w:marRight w:val="0"/>
          <w:marTop w:val="0"/>
          <w:marBottom w:val="0"/>
          <w:divBdr>
            <w:top w:val="none" w:sz="0" w:space="0" w:color="auto"/>
            <w:left w:val="none" w:sz="0" w:space="0" w:color="auto"/>
            <w:bottom w:val="none" w:sz="0" w:space="0" w:color="auto"/>
            <w:right w:val="none" w:sz="0" w:space="0" w:color="auto"/>
          </w:divBdr>
          <w:divsChild>
            <w:div w:id="1446656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063903">
      <w:bodyDiv w:val="1"/>
      <w:marLeft w:val="0"/>
      <w:marRight w:val="0"/>
      <w:marTop w:val="0"/>
      <w:marBottom w:val="0"/>
      <w:divBdr>
        <w:top w:val="none" w:sz="0" w:space="0" w:color="auto"/>
        <w:left w:val="none" w:sz="0" w:space="0" w:color="auto"/>
        <w:bottom w:val="none" w:sz="0" w:space="0" w:color="auto"/>
        <w:right w:val="none" w:sz="0" w:space="0" w:color="auto"/>
      </w:divBdr>
    </w:div>
    <w:div w:id="282464663">
      <w:bodyDiv w:val="1"/>
      <w:marLeft w:val="0"/>
      <w:marRight w:val="0"/>
      <w:marTop w:val="0"/>
      <w:marBottom w:val="0"/>
      <w:divBdr>
        <w:top w:val="none" w:sz="0" w:space="0" w:color="auto"/>
        <w:left w:val="none" w:sz="0" w:space="0" w:color="auto"/>
        <w:bottom w:val="none" w:sz="0" w:space="0" w:color="auto"/>
        <w:right w:val="none" w:sz="0" w:space="0" w:color="auto"/>
      </w:divBdr>
      <w:divsChild>
        <w:div w:id="1028332583">
          <w:marLeft w:val="0"/>
          <w:marRight w:val="0"/>
          <w:marTop w:val="0"/>
          <w:marBottom w:val="0"/>
          <w:divBdr>
            <w:top w:val="none" w:sz="0" w:space="0" w:color="auto"/>
            <w:left w:val="none" w:sz="0" w:space="0" w:color="auto"/>
            <w:bottom w:val="none" w:sz="0" w:space="0" w:color="auto"/>
            <w:right w:val="none" w:sz="0" w:space="0" w:color="auto"/>
          </w:divBdr>
          <w:divsChild>
            <w:div w:id="133135734">
              <w:marLeft w:val="0"/>
              <w:marRight w:val="0"/>
              <w:marTop w:val="0"/>
              <w:marBottom w:val="0"/>
              <w:divBdr>
                <w:top w:val="none" w:sz="0" w:space="0" w:color="auto"/>
                <w:left w:val="none" w:sz="0" w:space="0" w:color="auto"/>
                <w:bottom w:val="none" w:sz="0" w:space="0" w:color="auto"/>
                <w:right w:val="none" w:sz="0" w:space="0" w:color="auto"/>
              </w:divBdr>
            </w:div>
            <w:div w:id="135882500">
              <w:marLeft w:val="0"/>
              <w:marRight w:val="0"/>
              <w:marTop w:val="0"/>
              <w:marBottom w:val="0"/>
              <w:divBdr>
                <w:top w:val="none" w:sz="0" w:space="0" w:color="auto"/>
                <w:left w:val="none" w:sz="0" w:space="0" w:color="auto"/>
                <w:bottom w:val="none" w:sz="0" w:space="0" w:color="auto"/>
                <w:right w:val="none" w:sz="0" w:space="0" w:color="auto"/>
              </w:divBdr>
            </w:div>
            <w:div w:id="530534854">
              <w:marLeft w:val="0"/>
              <w:marRight w:val="0"/>
              <w:marTop w:val="0"/>
              <w:marBottom w:val="0"/>
              <w:divBdr>
                <w:top w:val="none" w:sz="0" w:space="0" w:color="auto"/>
                <w:left w:val="none" w:sz="0" w:space="0" w:color="auto"/>
                <w:bottom w:val="none" w:sz="0" w:space="0" w:color="auto"/>
                <w:right w:val="none" w:sz="0" w:space="0" w:color="auto"/>
              </w:divBdr>
            </w:div>
            <w:div w:id="551503128">
              <w:marLeft w:val="0"/>
              <w:marRight w:val="0"/>
              <w:marTop w:val="0"/>
              <w:marBottom w:val="0"/>
              <w:divBdr>
                <w:top w:val="none" w:sz="0" w:space="0" w:color="auto"/>
                <w:left w:val="none" w:sz="0" w:space="0" w:color="auto"/>
                <w:bottom w:val="none" w:sz="0" w:space="0" w:color="auto"/>
                <w:right w:val="none" w:sz="0" w:space="0" w:color="auto"/>
              </w:divBdr>
            </w:div>
            <w:div w:id="745221558">
              <w:marLeft w:val="0"/>
              <w:marRight w:val="0"/>
              <w:marTop w:val="0"/>
              <w:marBottom w:val="0"/>
              <w:divBdr>
                <w:top w:val="none" w:sz="0" w:space="0" w:color="auto"/>
                <w:left w:val="none" w:sz="0" w:space="0" w:color="auto"/>
                <w:bottom w:val="none" w:sz="0" w:space="0" w:color="auto"/>
                <w:right w:val="none" w:sz="0" w:space="0" w:color="auto"/>
              </w:divBdr>
            </w:div>
            <w:div w:id="747072882">
              <w:marLeft w:val="0"/>
              <w:marRight w:val="0"/>
              <w:marTop w:val="0"/>
              <w:marBottom w:val="0"/>
              <w:divBdr>
                <w:top w:val="none" w:sz="0" w:space="0" w:color="auto"/>
                <w:left w:val="none" w:sz="0" w:space="0" w:color="auto"/>
                <w:bottom w:val="none" w:sz="0" w:space="0" w:color="auto"/>
                <w:right w:val="none" w:sz="0" w:space="0" w:color="auto"/>
              </w:divBdr>
            </w:div>
            <w:div w:id="815612378">
              <w:marLeft w:val="0"/>
              <w:marRight w:val="0"/>
              <w:marTop w:val="0"/>
              <w:marBottom w:val="0"/>
              <w:divBdr>
                <w:top w:val="none" w:sz="0" w:space="0" w:color="auto"/>
                <w:left w:val="none" w:sz="0" w:space="0" w:color="auto"/>
                <w:bottom w:val="none" w:sz="0" w:space="0" w:color="auto"/>
                <w:right w:val="none" w:sz="0" w:space="0" w:color="auto"/>
              </w:divBdr>
            </w:div>
            <w:div w:id="1055275179">
              <w:marLeft w:val="0"/>
              <w:marRight w:val="0"/>
              <w:marTop w:val="0"/>
              <w:marBottom w:val="0"/>
              <w:divBdr>
                <w:top w:val="none" w:sz="0" w:space="0" w:color="auto"/>
                <w:left w:val="none" w:sz="0" w:space="0" w:color="auto"/>
                <w:bottom w:val="none" w:sz="0" w:space="0" w:color="auto"/>
                <w:right w:val="none" w:sz="0" w:space="0" w:color="auto"/>
              </w:divBdr>
            </w:div>
            <w:div w:id="1130246945">
              <w:marLeft w:val="0"/>
              <w:marRight w:val="0"/>
              <w:marTop w:val="0"/>
              <w:marBottom w:val="0"/>
              <w:divBdr>
                <w:top w:val="none" w:sz="0" w:space="0" w:color="auto"/>
                <w:left w:val="none" w:sz="0" w:space="0" w:color="auto"/>
                <w:bottom w:val="none" w:sz="0" w:space="0" w:color="auto"/>
                <w:right w:val="none" w:sz="0" w:space="0" w:color="auto"/>
              </w:divBdr>
            </w:div>
            <w:div w:id="1261984470">
              <w:marLeft w:val="0"/>
              <w:marRight w:val="0"/>
              <w:marTop w:val="0"/>
              <w:marBottom w:val="0"/>
              <w:divBdr>
                <w:top w:val="none" w:sz="0" w:space="0" w:color="auto"/>
                <w:left w:val="none" w:sz="0" w:space="0" w:color="auto"/>
                <w:bottom w:val="none" w:sz="0" w:space="0" w:color="auto"/>
                <w:right w:val="none" w:sz="0" w:space="0" w:color="auto"/>
              </w:divBdr>
            </w:div>
            <w:div w:id="1456096469">
              <w:marLeft w:val="0"/>
              <w:marRight w:val="0"/>
              <w:marTop w:val="0"/>
              <w:marBottom w:val="0"/>
              <w:divBdr>
                <w:top w:val="none" w:sz="0" w:space="0" w:color="auto"/>
                <w:left w:val="none" w:sz="0" w:space="0" w:color="auto"/>
                <w:bottom w:val="none" w:sz="0" w:space="0" w:color="auto"/>
                <w:right w:val="none" w:sz="0" w:space="0" w:color="auto"/>
              </w:divBdr>
            </w:div>
            <w:div w:id="1511067833">
              <w:marLeft w:val="0"/>
              <w:marRight w:val="0"/>
              <w:marTop w:val="0"/>
              <w:marBottom w:val="0"/>
              <w:divBdr>
                <w:top w:val="none" w:sz="0" w:space="0" w:color="auto"/>
                <w:left w:val="none" w:sz="0" w:space="0" w:color="auto"/>
                <w:bottom w:val="none" w:sz="0" w:space="0" w:color="auto"/>
                <w:right w:val="none" w:sz="0" w:space="0" w:color="auto"/>
              </w:divBdr>
            </w:div>
            <w:div w:id="1973513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615827">
      <w:bodyDiv w:val="1"/>
      <w:marLeft w:val="0"/>
      <w:marRight w:val="0"/>
      <w:marTop w:val="0"/>
      <w:marBottom w:val="0"/>
      <w:divBdr>
        <w:top w:val="none" w:sz="0" w:space="0" w:color="auto"/>
        <w:left w:val="none" w:sz="0" w:space="0" w:color="auto"/>
        <w:bottom w:val="none" w:sz="0" w:space="0" w:color="auto"/>
        <w:right w:val="none" w:sz="0" w:space="0" w:color="auto"/>
      </w:divBdr>
    </w:div>
    <w:div w:id="357001795">
      <w:bodyDiv w:val="1"/>
      <w:marLeft w:val="0"/>
      <w:marRight w:val="0"/>
      <w:marTop w:val="0"/>
      <w:marBottom w:val="0"/>
      <w:divBdr>
        <w:top w:val="none" w:sz="0" w:space="0" w:color="auto"/>
        <w:left w:val="none" w:sz="0" w:space="0" w:color="auto"/>
        <w:bottom w:val="none" w:sz="0" w:space="0" w:color="auto"/>
        <w:right w:val="none" w:sz="0" w:space="0" w:color="auto"/>
      </w:divBdr>
    </w:div>
    <w:div w:id="493227054">
      <w:bodyDiv w:val="1"/>
      <w:marLeft w:val="0"/>
      <w:marRight w:val="0"/>
      <w:marTop w:val="0"/>
      <w:marBottom w:val="0"/>
      <w:divBdr>
        <w:top w:val="none" w:sz="0" w:space="0" w:color="auto"/>
        <w:left w:val="none" w:sz="0" w:space="0" w:color="auto"/>
        <w:bottom w:val="none" w:sz="0" w:space="0" w:color="auto"/>
        <w:right w:val="none" w:sz="0" w:space="0" w:color="auto"/>
      </w:divBdr>
    </w:div>
    <w:div w:id="587227263">
      <w:bodyDiv w:val="1"/>
      <w:marLeft w:val="0"/>
      <w:marRight w:val="0"/>
      <w:marTop w:val="0"/>
      <w:marBottom w:val="0"/>
      <w:divBdr>
        <w:top w:val="none" w:sz="0" w:space="0" w:color="auto"/>
        <w:left w:val="none" w:sz="0" w:space="0" w:color="auto"/>
        <w:bottom w:val="none" w:sz="0" w:space="0" w:color="auto"/>
        <w:right w:val="none" w:sz="0" w:space="0" w:color="auto"/>
      </w:divBdr>
    </w:div>
    <w:div w:id="666514023">
      <w:bodyDiv w:val="1"/>
      <w:marLeft w:val="0"/>
      <w:marRight w:val="0"/>
      <w:marTop w:val="0"/>
      <w:marBottom w:val="0"/>
      <w:divBdr>
        <w:top w:val="none" w:sz="0" w:space="0" w:color="auto"/>
        <w:left w:val="none" w:sz="0" w:space="0" w:color="auto"/>
        <w:bottom w:val="none" w:sz="0" w:space="0" w:color="auto"/>
        <w:right w:val="none" w:sz="0" w:space="0" w:color="auto"/>
      </w:divBdr>
    </w:div>
    <w:div w:id="817309202">
      <w:bodyDiv w:val="1"/>
      <w:marLeft w:val="0"/>
      <w:marRight w:val="0"/>
      <w:marTop w:val="0"/>
      <w:marBottom w:val="0"/>
      <w:divBdr>
        <w:top w:val="none" w:sz="0" w:space="0" w:color="auto"/>
        <w:left w:val="none" w:sz="0" w:space="0" w:color="auto"/>
        <w:bottom w:val="none" w:sz="0" w:space="0" w:color="auto"/>
        <w:right w:val="none" w:sz="0" w:space="0" w:color="auto"/>
      </w:divBdr>
    </w:div>
    <w:div w:id="1033532970">
      <w:bodyDiv w:val="1"/>
      <w:marLeft w:val="0"/>
      <w:marRight w:val="0"/>
      <w:marTop w:val="0"/>
      <w:marBottom w:val="0"/>
      <w:divBdr>
        <w:top w:val="none" w:sz="0" w:space="0" w:color="auto"/>
        <w:left w:val="none" w:sz="0" w:space="0" w:color="auto"/>
        <w:bottom w:val="none" w:sz="0" w:space="0" w:color="auto"/>
        <w:right w:val="none" w:sz="0" w:space="0" w:color="auto"/>
      </w:divBdr>
    </w:div>
    <w:div w:id="1083256792">
      <w:bodyDiv w:val="1"/>
      <w:marLeft w:val="0"/>
      <w:marRight w:val="0"/>
      <w:marTop w:val="0"/>
      <w:marBottom w:val="0"/>
      <w:divBdr>
        <w:top w:val="none" w:sz="0" w:space="0" w:color="auto"/>
        <w:left w:val="none" w:sz="0" w:space="0" w:color="auto"/>
        <w:bottom w:val="none" w:sz="0" w:space="0" w:color="auto"/>
        <w:right w:val="none" w:sz="0" w:space="0" w:color="auto"/>
      </w:divBdr>
    </w:div>
    <w:div w:id="1170604459">
      <w:bodyDiv w:val="1"/>
      <w:marLeft w:val="0"/>
      <w:marRight w:val="0"/>
      <w:marTop w:val="0"/>
      <w:marBottom w:val="0"/>
      <w:divBdr>
        <w:top w:val="none" w:sz="0" w:space="0" w:color="auto"/>
        <w:left w:val="none" w:sz="0" w:space="0" w:color="auto"/>
        <w:bottom w:val="none" w:sz="0" w:space="0" w:color="auto"/>
        <w:right w:val="none" w:sz="0" w:space="0" w:color="auto"/>
      </w:divBdr>
    </w:div>
    <w:div w:id="1243643485">
      <w:bodyDiv w:val="1"/>
      <w:marLeft w:val="0"/>
      <w:marRight w:val="0"/>
      <w:marTop w:val="0"/>
      <w:marBottom w:val="0"/>
      <w:divBdr>
        <w:top w:val="none" w:sz="0" w:space="0" w:color="auto"/>
        <w:left w:val="none" w:sz="0" w:space="0" w:color="auto"/>
        <w:bottom w:val="none" w:sz="0" w:space="0" w:color="auto"/>
        <w:right w:val="none" w:sz="0" w:space="0" w:color="auto"/>
      </w:divBdr>
    </w:div>
    <w:div w:id="1414082248">
      <w:bodyDiv w:val="1"/>
      <w:marLeft w:val="0"/>
      <w:marRight w:val="0"/>
      <w:marTop w:val="0"/>
      <w:marBottom w:val="0"/>
      <w:divBdr>
        <w:top w:val="none" w:sz="0" w:space="0" w:color="auto"/>
        <w:left w:val="none" w:sz="0" w:space="0" w:color="auto"/>
        <w:bottom w:val="none" w:sz="0" w:space="0" w:color="auto"/>
        <w:right w:val="none" w:sz="0" w:space="0" w:color="auto"/>
      </w:divBdr>
    </w:div>
    <w:div w:id="1487092802">
      <w:bodyDiv w:val="1"/>
      <w:marLeft w:val="0"/>
      <w:marRight w:val="0"/>
      <w:marTop w:val="0"/>
      <w:marBottom w:val="0"/>
      <w:divBdr>
        <w:top w:val="none" w:sz="0" w:space="0" w:color="auto"/>
        <w:left w:val="none" w:sz="0" w:space="0" w:color="auto"/>
        <w:bottom w:val="none" w:sz="0" w:space="0" w:color="auto"/>
        <w:right w:val="none" w:sz="0" w:space="0" w:color="auto"/>
      </w:divBdr>
    </w:div>
    <w:div w:id="1544905768">
      <w:bodyDiv w:val="1"/>
      <w:marLeft w:val="0"/>
      <w:marRight w:val="0"/>
      <w:marTop w:val="0"/>
      <w:marBottom w:val="0"/>
      <w:divBdr>
        <w:top w:val="none" w:sz="0" w:space="0" w:color="auto"/>
        <w:left w:val="none" w:sz="0" w:space="0" w:color="auto"/>
        <w:bottom w:val="none" w:sz="0" w:space="0" w:color="auto"/>
        <w:right w:val="none" w:sz="0" w:space="0" w:color="auto"/>
      </w:divBdr>
    </w:div>
    <w:div w:id="1669333565">
      <w:bodyDiv w:val="1"/>
      <w:marLeft w:val="0"/>
      <w:marRight w:val="0"/>
      <w:marTop w:val="0"/>
      <w:marBottom w:val="0"/>
      <w:divBdr>
        <w:top w:val="none" w:sz="0" w:space="0" w:color="auto"/>
        <w:left w:val="none" w:sz="0" w:space="0" w:color="auto"/>
        <w:bottom w:val="none" w:sz="0" w:space="0" w:color="auto"/>
        <w:right w:val="none" w:sz="0" w:space="0" w:color="auto"/>
      </w:divBdr>
    </w:div>
    <w:div w:id="1823354363">
      <w:bodyDiv w:val="1"/>
      <w:marLeft w:val="0"/>
      <w:marRight w:val="0"/>
      <w:marTop w:val="0"/>
      <w:marBottom w:val="0"/>
      <w:divBdr>
        <w:top w:val="none" w:sz="0" w:space="0" w:color="auto"/>
        <w:left w:val="none" w:sz="0" w:space="0" w:color="auto"/>
        <w:bottom w:val="none" w:sz="0" w:space="0" w:color="auto"/>
        <w:right w:val="none" w:sz="0" w:space="0" w:color="auto"/>
      </w:divBdr>
    </w:div>
    <w:div w:id="1832594805">
      <w:bodyDiv w:val="1"/>
      <w:marLeft w:val="0"/>
      <w:marRight w:val="0"/>
      <w:marTop w:val="0"/>
      <w:marBottom w:val="0"/>
      <w:divBdr>
        <w:top w:val="none" w:sz="0" w:space="0" w:color="auto"/>
        <w:left w:val="none" w:sz="0" w:space="0" w:color="auto"/>
        <w:bottom w:val="none" w:sz="0" w:space="0" w:color="auto"/>
        <w:right w:val="none" w:sz="0" w:space="0" w:color="auto"/>
      </w:divBdr>
    </w:div>
    <w:div w:id="1952543248">
      <w:bodyDiv w:val="1"/>
      <w:marLeft w:val="0"/>
      <w:marRight w:val="0"/>
      <w:marTop w:val="0"/>
      <w:marBottom w:val="0"/>
      <w:divBdr>
        <w:top w:val="none" w:sz="0" w:space="0" w:color="auto"/>
        <w:left w:val="none" w:sz="0" w:space="0" w:color="auto"/>
        <w:bottom w:val="none" w:sz="0" w:space="0" w:color="auto"/>
        <w:right w:val="none" w:sz="0" w:space="0" w:color="auto"/>
      </w:divBdr>
    </w:div>
    <w:div w:id="1963338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nergie-effizienz-experten.de" TargetMode="External"/><Relationship Id="rId13" Type="http://schemas.openxmlformats.org/officeDocument/2006/relationships/hyperlink" Target="http://www.energie-effizienz-experten.de" TargetMode="External"/><Relationship Id="rId18" Type="http://schemas.openxmlformats.org/officeDocument/2006/relationships/hyperlink" Target="http://www.energie-effizienz-experten.de"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vdzev.de/broschueren/formulare-hydraulischer-abgleich" TargetMode="External"/><Relationship Id="rId7" Type="http://schemas.openxmlformats.org/officeDocument/2006/relationships/endnotes" Target="endnotes.xml"/><Relationship Id="rId12" Type="http://schemas.openxmlformats.org/officeDocument/2006/relationships/hyperlink" Target="http://www.energie-effizienz-experten.de" TargetMode="External"/><Relationship Id="rId17" Type="http://schemas.openxmlformats.org/officeDocument/2006/relationships/hyperlink" Target="http://www.energie-effizienz-experten.de" TargetMode="External"/><Relationship Id="rId25" Type="http://schemas.openxmlformats.org/officeDocument/2006/relationships/hyperlink" Target="http://www.energie-effizienz-experten.de" TargetMode="External"/><Relationship Id="rId2" Type="http://schemas.openxmlformats.org/officeDocument/2006/relationships/numbering" Target="numbering.xml"/><Relationship Id="rId16" Type="http://schemas.openxmlformats.org/officeDocument/2006/relationships/hyperlink" Target="http://www.energie-effizienz-experten.de" TargetMode="External"/><Relationship Id="rId20" Type="http://schemas.openxmlformats.org/officeDocument/2006/relationships/hyperlink" Target="http://www.energie-effizienz-experten.d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nergie-effizienz-experten.de" TargetMode="External"/><Relationship Id="rId24" Type="http://schemas.openxmlformats.org/officeDocument/2006/relationships/hyperlink" Target="http://www.BAFA.de" TargetMode="External"/><Relationship Id="rId5" Type="http://schemas.openxmlformats.org/officeDocument/2006/relationships/webSettings" Target="webSettings.xml"/><Relationship Id="rId15" Type="http://schemas.openxmlformats.org/officeDocument/2006/relationships/hyperlink" Target="http://www.energie-effizienz-experten.de" TargetMode="External"/><Relationship Id="rId23" Type="http://schemas.openxmlformats.org/officeDocument/2006/relationships/hyperlink" Target="http://www.bafa.de" TargetMode="External"/><Relationship Id="rId10" Type="http://schemas.openxmlformats.org/officeDocument/2006/relationships/hyperlink" Target="http://www.kfw.de" TargetMode="External"/><Relationship Id="rId19" Type="http://schemas.openxmlformats.org/officeDocument/2006/relationships/hyperlink" Target="http://www.energie-effizienz-experten.de" TargetMode="External"/><Relationship Id="rId4" Type="http://schemas.openxmlformats.org/officeDocument/2006/relationships/settings" Target="settings.xml"/><Relationship Id="rId9" Type="http://schemas.openxmlformats.org/officeDocument/2006/relationships/hyperlink" Target="http://www.bafa.de" TargetMode="External"/><Relationship Id="rId14" Type="http://schemas.openxmlformats.org/officeDocument/2006/relationships/hyperlink" Target="http://www.energie-effizienz-experten.de" TargetMode="External"/><Relationship Id="rId22" Type="http://schemas.openxmlformats.org/officeDocument/2006/relationships/hyperlink" Target="http://www.BAFA.de" TargetMode="External"/><Relationship Id="rId27"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6D944C-2107-47B3-8A37-8908E8A65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52</Pages>
  <Words>18116</Words>
  <Characters>114136</Characters>
  <Application>Microsoft Office Word</Application>
  <DocSecurity>0</DocSecurity>
  <Lines>951</Lines>
  <Paragraphs>263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2023-09-15T08:04:00Z</dcterms:created>
  <dcterms:modified xsi:type="dcterms:W3CDTF">2023-09-15T08:10:00Z</dcterms:modified>
</cp:coreProperties>
</file>